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DocFlow — Terms of Service (Draft)</w:t>
      </w:r>
    </w:p>
    <w:p>
      <w:pPr>
        <w:pBdr>
          <w:bottom w:val="single" w:color="0F6E56" w:sz="6" w:space="8"/>
        </w:pBdr>
        <w:spacing w:after="120"/>
      </w:pPr>
      <w:r>
        <w:rPr>
          <w:i/>
          <w:iCs/>
          <w:color w:val="666666"/>
        </w:rPr>
        <w:t xml:space="preserve">NOT LEGAL ADVICE — attorney review required · Version 1 · September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AF0" w:val="clear"/>
            <w:tcMar>
              <w:top w:type="dxa" w:w="160"/>
              <w:left w:type="dxa" w:w="200"/>
              <w:bottom w:type="dxa" w:w="160"/>
              <w:right w:type="dxa" w:w="200"/>
            </w:tcMar>
          </w:tcPr>
          <w:p>
            <w:pPr>
              <w:spacing w:after="80"/>
            </w:pPr>
            <w:r>
              <w:rPr>
                <w:b/>
                <w:bCs/>
                <w:color w:val="72243E"/>
              </w:rPr>
              <w:t xml:space="preserve">This is a structural starting point, not legal advice.</w:t>
            </w:r>
          </w:p>
          <w:p>
            <w:pPr>
              <w:spacing w:after="0"/>
            </w:pPr>
            <w:r>
              <w:rPr>
                <w:b/>
                <w:bCs/>
                <w:color w:val="72243E"/>
              </w:rPr>
              <w:t xml:space="preserve">It was drafted by an AI assistant and has not been reviewed by a lawyer. Do not send this to a customer, use it to collect payment, or rely on it to handle customer data until it has been reviewed and revised by a licensed attorney in your jurisdiction. Several terms below (marked in brackets) are placeholders that need real legal judgment, not a default value.</w:t>
            </w:r>
          </w:p>
        </w:tc>
      </w:tr>
    </w:tbl>
    <w:p>
      <w:pPr>
        <w:spacing w:after="200"/>
      </w:pPr>
    </w:p>
    <w:p>
      <w:pPr>
        <w:pStyle w:val="Heading1"/>
        <w:spacing w:after="140" w:before="280"/>
      </w:pPr>
      <w:r>
        <w:t xml:space="preserve">1. Parties &amp; acceptance</w:t>
      </w:r>
    </w:p>
    <w:p>
      <w:pPr>
        <w:spacing w:after="160"/>
      </w:pPr>
      <w:r>
        <w:rPr>
          <w:b w:val="false"/>
          <w:bCs w:val="false"/>
          <w:i w:val="false"/>
          <w:iCs w:val="false"/>
        </w:rPr>
        <w:t xml:space="preserve">This agreement is between [DocFlow legal entity name] (“Provider”) and the customer identified on the applicable order form (“Customer”). It is accepted when Customer signs an order form referencing these terms, or by continuing to use the service after setup begins, whichever happens first. [Attorney to confirm the acceptance mechanism is enforceable in your jurisdiction.]</w:t>
      </w:r>
    </w:p>
    <w:p>
      <w:pPr>
        <w:pStyle w:val="Heading1"/>
        <w:spacing w:after="140" w:before="280"/>
      </w:pPr>
      <w:r>
        <w:t xml:space="preserve">2. Description of services</w:t>
      </w:r>
    </w:p>
    <w:p>
      <w:pPr>
        <w:spacing w:after="160"/>
      </w:pPr>
      <w:r>
        <w:rPr>
          <w:b w:val="false"/>
          <w:bCs w:val="false"/>
          <w:i w:val="false"/>
          <w:iCs w:val="false"/>
        </w:rPr>
        <w:t xml:space="preserve">Provider extracts structured data from Customer's inbound purchase order documents, matches line items against Customer's own item catalog, presents extracted data for human review, and delivers approved data as downloadable export files (CSV, Excel, JSON, or IIF).</w:t>
      </w:r>
    </w:p>
    <w:p>
      <w:pPr>
        <w:spacing w:after="160"/>
      </w:pPr>
      <w:r>
        <w:rPr>
          <w:b/>
          <w:bCs/>
          <w:i w:val="false"/>
          <w:iCs w:val="false"/>
        </w:rPr>
        <w:t xml:space="preserve">Provider does not write data directly into Customer's ERP, accounting system, or any other live system. Customer is responsible for importing exported files into their own systems. This limitation is a defined feature of the service, not a defect.</w:t>
      </w:r>
    </w:p>
    <w:p>
      <w:pPr>
        <w:pStyle w:val="Heading1"/>
        <w:spacing w:after="140" w:before="280"/>
      </w:pPr>
      <w:r>
        <w:t xml:space="preserve">3. Fees &amp; payment</w:t>
      </w:r>
    </w:p>
    <w:p>
      <w:pPr>
        <w:pStyle w:val="ListParagraph"/>
        <w:numPr>
          <w:ilvl w:val="0"/>
          <w:numId w:val="2"/>
        </w:numPr>
        <w:spacing w:after="60"/>
      </w:pPr>
      <w:r>
        <w:t xml:space="preserve">A one-time setup fee applies per the pricing tier selected on the order form</w:t>
      </w:r>
    </w:p>
    <w:p>
      <w:pPr>
        <w:pStyle w:val="ListParagraph"/>
        <w:numPr>
          <w:ilvl w:val="0"/>
          <w:numId w:val="2"/>
        </w:numPr>
        <w:spacing w:after="60"/>
      </w:pPr>
      <w:r>
        <w:t xml:space="preserve">A recurring monthly subscription fee applies per the pricing tier selected</w:t>
      </w:r>
    </w:p>
    <w:p>
      <w:pPr>
        <w:pStyle w:val="ListParagraph"/>
        <w:numPr>
          <w:ilvl w:val="0"/>
          <w:numId w:val="2"/>
        </w:numPr>
        <w:spacing w:after="60"/>
      </w:pPr>
      <w:r>
        <w:t xml:space="preserve">Fees are invoiced [monthly, in advance] and due within [15] days of invoice date</w:t>
      </w:r>
    </w:p>
    <w:p>
      <w:pPr>
        <w:pStyle w:val="ListParagraph"/>
        <w:numPr>
          <w:ilvl w:val="0"/>
          <w:numId w:val="2"/>
        </w:numPr>
        <w:spacing w:after="60"/>
      </w:pPr>
      <w:r>
        <w:t xml:space="preserve">Late payment may result in suspension of service after [reasonable notice]</w:t>
      </w:r>
    </w:p>
    <w:p>
      <w:pPr>
        <w:pStyle w:val="ListParagraph"/>
        <w:numPr>
          <w:ilvl w:val="0"/>
          <w:numId w:val="2"/>
        </w:numPr>
        <w:spacing w:after="60"/>
      </w:pPr>
      <w:r>
        <w:t xml:space="preserve">Provider may change pricing for future terms with at least [30] days' notice</w:t>
      </w:r>
    </w:p>
    <w:p>
      <w:pPr>
        <w:pStyle w:val="Heading1"/>
        <w:spacing w:after="140" w:before="280"/>
      </w:pPr>
      <w:r>
        <w:t xml:space="preserve">4. Term &amp; termination</w:t>
      </w:r>
    </w:p>
    <w:p>
      <w:pPr>
        <w:pStyle w:val="ListParagraph"/>
        <w:numPr>
          <w:ilvl w:val="0"/>
          <w:numId w:val="2"/>
        </w:numPr>
        <w:spacing w:after="60"/>
      </w:pPr>
      <w:r>
        <w:t xml:space="preserve">Initial term: [3 / 6 / 12 months — to be decided], renewing automatically for successive equal terms unless either party gives notice</w:t>
      </w:r>
    </w:p>
    <w:p>
      <w:pPr>
        <w:pStyle w:val="ListParagraph"/>
        <w:numPr>
          <w:ilvl w:val="0"/>
          <w:numId w:val="2"/>
        </w:numPr>
        <w:spacing w:after="60"/>
      </w:pPr>
      <w:r>
        <w:t xml:space="preserve">Either party may terminate for convenience with [30] days' written notice</w:t>
      </w:r>
    </w:p>
    <w:p>
      <w:pPr>
        <w:pStyle w:val="ListParagraph"/>
        <w:numPr>
          <w:ilvl w:val="0"/>
          <w:numId w:val="2"/>
        </w:numPr>
        <w:spacing w:after="60"/>
      </w:pPr>
      <w:r>
        <w:t xml:space="preserve">Provider may terminate for cause immediately upon material breach or non-payment that remains uncured after [14] days' notice</w:t>
      </w:r>
    </w:p>
    <w:p>
      <w:pPr>
        <w:pStyle w:val="Heading2"/>
        <w:spacing w:after="100" w:before="200"/>
      </w:pPr>
      <w:r>
        <w:t xml:space="preserve">4.1 What happens when Customer cancels</w:t>
      </w:r>
    </w:p>
    <w:p>
      <w:pPr>
        <w:spacing w:after="160"/>
      </w:pPr>
      <w:r>
        <w:rPr>
          <w:b w:val="false"/>
          <w:bCs w:val="false"/>
          <w:i w:val="false"/>
          <w:iCs w:val="false"/>
        </w:rPr>
        <w:t xml:space="preserve">Cancellation is a process, not an instant cutoff. The full mechanics are defined in the Offboarding Process document; the commitments that matter to Customer are:</w:t>
      </w:r>
    </w:p>
    <w:p>
      <w:pPr>
        <w:pStyle w:val="ListParagraph"/>
        <w:numPr>
          <w:ilvl w:val="0"/>
          <w:numId w:val="2"/>
        </w:numPr>
        <w:spacing w:after="60"/>
      </w:pPr>
      <w:r>
        <w:t xml:space="preserve">When cancellation becomes effective, Customer's account is suspended: no further documents are processed and billing stops</w:t>
      </w:r>
    </w:p>
    <w:p>
      <w:pPr>
        <w:pStyle w:val="ListParagraph"/>
        <w:numPr>
          <w:ilvl w:val="0"/>
          <w:numId w:val="2"/>
        </w:numPr>
        <w:spacing w:after="60"/>
      </w:pPr>
      <w:r>
        <w:t xml:space="preserve">Customer retains full access to review and export every document already processed for [30] days after suspension — Provider does not restrict access to Customer's own data as a condition of leaving</w:t>
      </w:r>
    </w:p>
    <w:p>
      <w:pPr>
        <w:pStyle w:val="ListParagraph"/>
        <w:numPr>
          <w:ilvl w:val="0"/>
          <w:numId w:val="2"/>
        </w:numPr>
        <w:spacing w:after="60"/>
      </w:pPr>
      <w:r>
        <w:t xml:space="preserve">Customer may reactivate at any time during this window by resuming payment, with no loss of catalog, buyer data, or learned configuration</w:t>
      </w:r>
    </w:p>
    <w:p>
      <w:pPr>
        <w:pStyle w:val="ListParagraph"/>
        <w:numPr>
          <w:ilvl w:val="0"/>
          <w:numId w:val="2"/>
        </w:numPr>
        <w:spacing w:after="60"/>
      </w:pPr>
      <w:r>
        <w:t xml:space="preserve">After the [30]-day window has elapsed, Customer's data is deleted only upon Provider's explicit confirmation — not on an automatic schedule — and Provider will not delete data before the window has fully elapsed</w:t>
      </w:r>
    </w:p>
    <w:p>
      <w:pPr>
        <w:spacing w:after="160"/>
      </w:pPr>
      <w:r>
        <w:rPr>
          <w:b w:val="false"/>
          <w:bCs w:val="false"/>
          <w:i/>
          <w:iCs/>
        </w:rPr>
        <w:t xml:space="preserve">[Attorney to confirm the length of this window and whether any category of data (e.g. billing records) must be retained longer for tax or accounting purposes regardless of this schedule.]</w:t>
      </w:r>
    </w:p>
    <w:p>
      <w:pPr>
        <w:pStyle w:val="Heading1"/>
        <w:spacing w:after="140" w:before="280"/>
      </w:pPr>
      <w:r>
        <w:t xml:space="preserve">5. Customer responsibilities</w:t>
      </w:r>
    </w:p>
    <w:p>
      <w:pPr>
        <w:pStyle w:val="ListParagraph"/>
        <w:numPr>
          <w:ilvl w:val="0"/>
          <w:numId w:val="2"/>
        </w:numPr>
        <w:spacing w:after="60"/>
      </w:pPr>
      <w:r>
        <w:t xml:space="preserve">Provide reasonably accurate catalog and reference data during onboarding</w:t>
      </w:r>
    </w:p>
    <w:p>
      <w:pPr>
        <w:pStyle w:val="ListParagraph"/>
        <w:numPr>
          <w:ilvl w:val="0"/>
          <w:numId w:val="2"/>
        </w:numPr>
        <w:spacing w:after="60"/>
      </w:pPr>
      <w:r>
        <w:t xml:space="preserve">Review and approve extracted data before relying on it for fulfillment, invoicing, or any downstream business process</w:t>
      </w:r>
    </w:p>
    <w:p>
      <w:pPr>
        <w:pStyle w:val="ListParagraph"/>
        <w:numPr>
          <w:ilvl w:val="0"/>
          <w:numId w:val="2"/>
        </w:numPr>
        <w:spacing w:after="60"/>
      </w:pPr>
      <w:r>
        <w:t xml:space="preserve">Notify Provider promptly of any suspected extraction or matching errors</w:t>
      </w:r>
    </w:p>
    <w:p>
      <w:pPr>
        <w:pStyle w:val="Heading1"/>
        <w:spacing w:after="140" w:before="280"/>
      </w:pPr>
      <w:r>
        <w:t xml:space="preserve">6. Data ownership &amp; handling</w:t>
      </w:r>
    </w:p>
    <w:p>
      <w:pPr>
        <w:pStyle w:val="ListParagraph"/>
        <w:numPr>
          <w:ilvl w:val="0"/>
          <w:numId w:val="2"/>
        </w:numPr>
        <w:spacing w:after="60"/>
      </w:pPr>
      <w:r>
        <w:t xml:space="preserve">Customer retains full ownership of all catalog data, buyer/customer data, and documents submitted to the service</w:t>
      </w:r>
    </w:p>
    <w:p>
      <w:pPr>
        <w:pStyle w:val="ListParagraph"/>
        <w:numPr>
          <w:ilvl w:val="0"/>
          <w:numId w:val="2"/>
        </w:numPr>
        <w:spacing w:after="60"/>
      </w:pPr>
      <w:r>
        <w:t xml:space="preserve">Provider stores this data only as needed to provide the service, isolated per customer, and never shares it with any other customer or third party</w:t>
      </w:r>
    </w:p>
    <w:p>
      <w:pPr>
        <w:pStyle w:val="ListParagraph"/>
        <w:numPr>
          <w:ilvl w:val="0"/>
          <w:numId w:val="2"/>
        </w:numPr>
        <w:spacing w:after="60"/>
      </w:pPr>
      <w:r>
        <w:t xml:space="preserve">Provider does not sell Customer data or use it to train models for any party other than Customer, without separate written consent</w:t>
      </w:r>
    </w:p>
    <w:p>
      <w:pPr>
        <w:pStyle w:val="ListParagraph"/>
        <w:numPr>
          <w:ilvl w:val="0"/>
          <w:numId w:val="2"/>
        </w:numPr>
        <w:spacing w:after="60"/>
      </w:pPr>
      <w:r>
        <w:t xml:space="preserve">Upon termination, data is deleted per Section 4.1 unless a longer retention period is required by law</w:t>
      </w:r>
    </w:p>
    <w:p>
      <w:pPr>
        <w:pStyle w:val="Heading1"/>
        <w:spacing w:after="140" w:before="280"/>
      </w:pPr>
      <w:r>
        <w:t xml:space="preserve">7. Confidentiality</w:t>
      </w:r>
    </w:p>
    <w:p>
      <w:pPr>
        <w:spacing w:after="160"/>
      </w:pPr>
      <w:r>
        <w:rPr>
          <w:b w:val="false"/>
          <w:bCs w:val="false"/>
          <w:i w:val="false"/>
          <w:iCs w:val="false"/>
        </w:rPr>
        <w:t xml:space="preserve">Each party agrees to keep the other's non-public business information confidential and to use it only for purposes of this agreement, both during the term and for [2 years] afterward.</w:t>
      </w:r>
    </w:p>
    <w:p>
      <w:pPr>
        <w:pStyle w:val="Heading1"/>
        <w:spacing w:after="140" w:before="280"/>
      </w:pPr>
      <w:r>
        <w:t xml:space="preserve">8. Service limitations &amp; disclaimers</w:t>
      </w:r>
    </w:p>
    <w:p>
      <w:pPr>
        <w:pStyle w:val="ListParagraph"/>
        <w:numPr>
          <w:ilvl w:val="0"/>
          <w:numId w:val="2"/>
        </w:numPr>
        <w:spacing w:after="60"/>
      </w:pPr>
      <w:r>
        <w:t xml:space="preserve">Extraction and matching are AI-assisted and may contain errors; Customer is responsible for human review before relying on any output</w:t>
      </w:r>
    </w:p>
    <w:p>
      <w:pPr>
        <w:pStyle w:val="ListParagraph"/>
        <w:numPr>
          <w:ilvl w:val="0"/>
          <w:numId w:val="2"/>
        </w:numPr>
        <w:spacing w:after="60"/>
      </w:pPr>
      <w:r>
        <w:t xml:space="preserve">The service is provided “as is” without warranty of uninterrupted or error-free operation</w:t>
      </w:r>
    </w:p>
    <w:p>
      <w:pPr>
        <w:pStyle w:val="ListParagraph"/>
        <w:numPr>
          <w:ilvl w:val="0"/>
          <w:numId w:val="2"/>
        </w:numPr>
        <w:spacing w:after="60"/>
      </w:pPr>
      <w:r>
        <w:t xml:space="preserve">Provider does not guarantee any specific accuracy percentage unless separately agreed in writing</w:t>
      </w:r>
    </w:p>
    <w:p>
      <w:pPr>
        <w:pStyle w:val="Heading1"/>
        <w:spacing w:after="140" w:before="280"/>
      </w:pPr>
      <w:r>
        <w:t xml:space="preserve">9. Limitation of liability</w:t>
      </w:r>
    </w:p>
    <w:p>
      <w:pPr>
        <w:spacing w:after="160"/>
      </w:pPr>
      <w:r>
        <w:rPr>
          <w:b w:val="false"/>
          <w:bCs w:val="false"/>
          <w:i/>
          <w:iCs/>
        </w:rPr>
        <w:t xml:space="preserve">[PLACEHOLDER — attorney to determine appropriate cap and exclusions for your jurisdiction and risk tolerance.] A typical structure: Provider's total liability is capped at fees paid in the preceding [3–6] months, and neither party is liable for indirect, incidental, or consequential damages. This is a meaningful business decision, not a formality — don't finalize a number without legal input.</w:t>
      </w:r>
    </w:p>
    <w:p>
      <w:pPr>
        <w:pStyle w:val="Heading1"/>
        <w:spacing w:after="140" w:before="280"/>
      </w:pPr>
      <w:r>
        <w:t xml:space="preserve">10. Intellectual property</w:t>
      </w:r>
    </w:p>
    <w:p>
      <w:pPr>
        <w:spacing w:after="160"/>
      </w:pPr>
      <w:r>
        <w:rPr>
          <w:b w:val="false"/>
          <w:bCs w:val="false"/>
          <w:i w:val="false"/>
          <w:iCs w:val="false"/>
        </w:rPr>
        <w:t xml:space="preserve">Provider retains all rights to its software, extraction methods, and platform. Customer retains all rights to its own data. Nothing in this agreement transfers ownership of either party's pre-existing intellectual property.</w:t>
      </w:r>
    </w:p>
    <w:p>
      <w:pPr>
        <w:pStyle w:val="Heading1"/>
        <w:spacing w:after="140" w:before="280"/>
      </w:pPr>
      <w:r>
        <w:t xml:space="preserve">11. Governing law &amp; disputes</w:t>
      </w:r>
    </w:p>
    <w:p>
      <w:pPr>
        <w:spacing w:after="160"/>
      </w:pPr>
      <w:r>
        <w:rPr>
          <w:b w:val="false"/>
          <w:bCs w:val="false"/>
          <w:i/>
          <w:iCs/>
        </w:rPr>
        <w:t xml:space="preserve">[PLACEHOLDER — state/country and dispute-resolution method (courts vs. arbitration) to be set by attorney based on where the business is formed and where customers are located.]</w:t>
      </w:r>
    </w:p>
    <w:p>
      <w:pPr>
        <w:pStyle w:val="Heading1"/>
        <w:spacing w:after="140" w:before="280"/>
      </w:pPr>
      <w:r>
        <w:t xml:space="preserve">12. General</w:t>
      </w:r>
    </w:p>
    <w:p>
      <w:pPr>
        <w:pStyle w:val="ListParagraph"/>
        <w:numPr>
          <w:ilvl w:val="0"/>
          <w:numId w:val="2"/>
        </w:numPr>
        <w:spacing w:after="60"/>
      </w:pPr>
      <w:r>
        <w:t xml:space="preserve">This agreement, plus the applicable order form, is the entire agreement between the parties</w:t>
      </w:r>
    </w:p>
    <w:p>
      <w:pPr>
        <w:pStyle w:val="ListParagraph"/>
        <w:numPr>
          <w:ilvl w:val="0"/>
          <w:numId w:val="2"/>
        </w:numPr>
        <w:spacing w:after="60"/>
      </w:pPr>
      <w:r>
        <w:t xml:space="preserve">Amendments must be in writing and signed by both parties</w:t>
      </w:r>
    </w:p>
    <w:p>
      <w:pPr>
        <w:pStyle w:val="ListParagraph"/>
        <w:numPr>
          <w:ilvl w:val="0"/>
          <w:numId w:val="2"/>
        </w:numPr>
        <w:spacing w:after="60"/>
      </w:pPr>
      <w:r>
        <w:t xml:space="preserve">Customer may not assign this agreement without Provider's consent</w:t>
      </w:r>
    </w:p>
    <w:p>
      <w:pPr>
        <w:pStyle w:val="ListParagraph"/>
        <w:numPr>
          <w:ilvl w:val="0"/>
          <w:numId w:val="2"/>
        </w:numPr>
        <w:spacing w:after="60"/>
      </w:pPr>
      <w:r>
        <w:t xml:space="preserve">Notices are sent to the addresses on the order form</w:t>
      </w:r>
    </w:p>
    <w:p>
      <w:pPr>
        <w:pStyle w:val="Heading1"/>
        <w:spacing w:after="140" w:before="280"/>
      </w:pPr>
      <w:r>
        <w:t xml:space="preserve">13.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shd w:fill="0F6E56" w:val="clear"/>
            <w:tcMar>
              <w:top w:type="dxa" w:w="80"/>
              <w:left w:type="dxa" w:w="120"/>
              <w:bottom w:type="dxa" w:w="80"/>
              <w:right w:type="dxa" w:w="120"/>
            </w:tcMar>
            <w:vAlign w:val="center"/>
          </w:tcPr>
          <w:p>
            <w:r>
              <w:rPr>
                <w:b/>
                <w:bCs/>
                <w:color w:val="FFFFFF"/>
              </w:rPr>
              <w:t xml:space="preserve">Party</w:t>
            </w:r>
          </w:p>
        </w:tc>
        <w:tc>
          <w:tcPr>
            <w:tcW w:type="dxa" w:w="2600"/>
            <w:shd w:fill="0F6E56" w:val="clear"/>
            <w:tcMar>
              <w:top w:type="dxa" w:w="80"/>
              <w:left w:type="dxa" w:w="120"/>
              <w:bottom w:type="dxa" w:w="80"/>
              <w:right w:type="dxa" w:w="120"/>
            </w:tcMar>
            <w:vAlign w:val="center"/>
          </w:tcPr>
          <w:p>
            <w:r>
              <w:rPr>
                <w:b/>
                <w:bCs/>
                <w:color w:val="FFFFFF"/>
              </w:rPr>
              <w:t xml:space="preserve">Name</w:t>
            </w:r>
          </w:p>
        </w:tc>
        <w:tc>
          <w:tcPr>
            <w:tcW w:type="dxa" w:w="2600"/>
            <w:shd w:fill="0F6E56" w:val="clear"/>
            <w:tcMar>
              <w:top w:type="dxa" w:w="80"/>
              <w:left w:type="dxa" w:w="120"/>
              <w:bottom w:type="dxa" w:w="80"/>
              <w:right w:type="dxa" w:w="120"/>
            </w:tcMar>
            <w:vAlign w:val="center"/>
          </w:tcPr>
          <w:p>
            <w:r>
              <w:rPr>
                <w:b/>
                <w:bCs/>
                <w:color w:val="FFFFFF"/>
              </w:rPr>
              <w:t xml:space="preserve">Signature</w:t>
            </w:r>
          </w:p>
        </w:tc>
        <w:tc>
          <w:tcPr>
            <w:tcW w:type="dxa" w:w="2160"/>
            <w:shd w:fill="0F6E56" w:val="clear"/>
            <w:tcMar>
              <w:top w:type="dxa" w:w="80"/>
              <w:left w:type="dxa" w:w="120"/>
              <w:bottom w:type="dxa" w:w="80"/>
              <w:right w:type="dxa" w:w="120"/>
            </w:tcMar>
            <w:vAlign w:val="center"/>
          </w:tcPr>
          <w:p>
            <w:r>
              <w:rPr>
                <w:b/>
                <w:bCs/>
                <w:color w:val="FFFFFF"/>
              </w:rPr>
              <w:t xml:space="preserve">Date</w:t>
            </w:r>
          </w:p>
        </w:tc>
      </w:tr>
      <w:tr>
        <w:tc>
          <w:tcPr>
            <w:tcW w:type="dxa" w:w="2000"/>
            <w:tcMar>
              <w:top w:type="dxa" w:w="80"/>
              <w:left w:type="dxa" w:w="120"/>
              <w:bottom w:type="dxa" w:w="80"/>
              <w:right w:type="dxa" w:w="120"/>
            </w:tcMar>
            <w:vAlign w:val="center"/>
          </w:tcPr>
          <w:p>
            <w:r>
              <w:rPr>
                <w:b w:val="false"/>
                <w:bCs w:val="false"/>
                <w:color w:val="000000"/>
              </w:rPr>
              <w:t xml:space="preserve">Provider</w:t>
            </w:r>
          </w:p>
        </w:tc>
        <w:tc>
          <w:tcPr>
            <w:tcW w:type="dxa" w:w="2600"/>
            <w:tcMar>
              <w:top w:type="dxa" w:w="80"/>
              <w:left w:type="dxa" w:w="120"/>
              <w:bottom w:type="dxa" w:w="80"/>
              <w:right w:type="dxa" w:w="120"/>
            </w:tcMar>
            <w:vAlign w:val="center"/>
          </w:tcPr>
          <w:p>
            <w:r>
              <w:rPr>
                <w:b w:val="false"/>
                <w:bCs w:val="false"/>
                <w:color w:val="000000"/>
              </w:rPr>
              <w:t xml:space="preserve"/>
            </w:r>
          </w:p>
        </w:tc>
        <w:tc>
          <w:tcPr>
            <w:tcW w:type="dxa" w:w="2600"/>
            <w:tcMar>
              <w:top w:type="dxa" w:w="80"/>
              <w:left w:type="dxa" w:w="120"/>
              <w:bottom w:type="dxa" w:w="80"/>
              <w:right w:type="dxa" w:w="120"/>
            </w:tcMar>
            <w:vAlign w:val="center"/>
          </w:tcPr>
          <w:p>
            <w:r>
              <w:rPr>
                <w:b w:val="false"/>
                <w:bCs w:val="false"/>
                <w:color w:val="000000"/>
              </w:rPr>
              <w:t xml:space="preserve"/>
            </w:r>
          </w:p>
        </w:tc>
        <w:tc>
          <w:tcPr>
            <w:tcW w:type="dxa" w:w="2160"/>
            <w:tcMar>
              <w:top w:type="dxa" w:w="80"/>
              <w:left w:type="dxa" w:w="120"/>
              <w:bottom w:type="dxa" w:w="80"/>
              <w:right w:type="dxa" w:w="120"/>
            </w:tcMar>
            <w:vAlign w:val="center"/>
          </w:tcPr>
          <w:p>
            <w:r>
              <w:rPr>
                <w:b w:val="false"/>
                <w:bCs w:val="false"/>
                <w:color w:val="000000"/>
              </w:rPr>
              <w:t xml:space="preserve"/>
            </w:r>
          </w:p>
        </w:tc>
      </w:tr>
      <w:tr>
        <w:tc>
          <w:tcPr>
            <w:tcW w:type="dxa" w:w="2000"/>
            <w:tcMar>
              <w:top w:type="dxa" w:w="80"/>
              <w:left w:type="dxa" w:w="120"/>
              <w:bottom w:type="dxa" w:w="80"/>
              <w:right w:type="dxa" w:w="120"/>
            </w:tcMar>
            <w:vAlign w:val="center"/>
          </w:tcPr>
          <w:p>
            <w:r>
              <w:rPr>
                <w:b w:val="false"/>
                <w:bCs w:val="false"/>
                <w:color w:val="000000"/>
              </w:rPr>
              <w:t xml:space="preserve">Customer</w:t>
            </w:r>
          </w:p>
        </w:tc>
        <w:tc>
          <w:tcPr>
            <w:tcW w:type="dxa" w:w="2600"/>
            <w:tcMar>
              <w:top w:type="dxa" w:w="80"/>
              <w:left w:type="dxa" w:w="120"/>
              <w:bottom w:type="dxa" w:w="80"/>
              <w:right w:type="dxa" w:w="120"/>
            </w:tcMar>
            <w:vAlign w:val="center"/>
          </w:tcPr>
          <w:p>
            <w:r>
              <w:rPr>
                <w:b w:val="false"/>
                <w:bCs w:val="false"/>
                <w:color w:val="000000"/>
              </w:rPr>
              <w:t xml:space="preserve"/>
            </w:r>
          </w:p>
        </w:tc>
        <w:tc>
          <w:tcPr>
            <w:tcW w:type="dxa" w:w="2600"/>
            <w:tcMar>
              <w:top w:type="dxa" w:w="80"/>
              <w:left w:type="dxa" w:w="120"/>
              <w:bottom w:type="dxa" w:w="80"/>
              <w:right w:type="dxa" w:w="120"/>
            </w:tcMar>
            <w:vAlign w:val="center"/>
          </w:tcPr>
          <w:p>
            <w:r>
              <w:rPr>
                <w:b w:val="false"/>
                <w:bCs w:val="false"/>
                <w:color w:val="000000"/>
              </w:rPr>
              <w:t xml:space="preserve"/>
            </w:r>
          </w:p>
        </w:tc>
        <w:tc>
          <w:tcPr>
            <w:tcW w:type="dxa" w:w="2160"/>
            <w:tcMar>
              <w:top w:type="dxa" w:w="80"/>
              <w:left w:type="dxa" w:w="120"/>
              <w:bottom w:type="dxa" w:w="80"/>
              <w:right w:type="dxa" w:w="120"/>
            </w:tcMar>
            <w:vAlign w:val="center"/>
          </w:tcPr>
          <w:p>
            <w:r>
              <w:rPr>
                <w:b w:val="false"/>
                <w:bCs w:val="false"/>
                <w:color w:val="00000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2026-09-16T03:08:55.563Z</dcterms:created>
  <dcterms:modified xsi:type="dcterms:W3CDTF">2026-09-16T03:08:55.571Z</dcterms:modified>
</cp:coreProperties>
</file>

<file path=docProps/custom.xml><?xml version="1.0" encoding="utf-8"?>
<Properties xmlns="http://schemas.openxmlformats.org/officeDocument/2006/custom-properties" xmlns:vt="http://schemas.openxmlformats.org/officeDocument/2006/docPropsVTypes"/>
</file>