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F6E56"/>
          <w:sz w:val="56"/>
          <w:szCs w:val="56"/>
        </w:rPr>
        <w:t xml:space="preserve">DocFlow — Master Business Spec</w:t>
      </w:r>
    </w:p>
    <w:p>
      <w:pPr>
        <w:spacing w:after="60"/>
      </w:pPr>
      <w:r>
        <w:rPr>
          <w:i/>
          <w:iCs/>
          <w:color w:val="555555"/>
          <w:sz w:val="22"/>
          <w:szCs w:val="22"/>
        </w:rPr>
        <w:t xml:space="preserve">Single source of truth · update this document, not the individual AI chat exports</w:t>
      </w:r>
    </w:p>
    <w:p>
      <w:pPr>
        <w:spacing w:after="300"/>
      </w:pPr>
      <w:r>
        <w:rPr>
          <w:color w:val="555555"/>
          <w:sz w:val="20"/>
          <w:szCs w:val="20"/>
        </w:rPr>
        <w:t xml:space="preserve">Version 1 · September 2026 · Supersedes fromGrok.txt, fromGemini.txt, inputfromGrok.docx, docflow-business-summary.pdf, and docflow-family-pitch.html as the reference for current decisions</w:t>
      </w:r>
    </w:p>
    <w:p>
      <w:pPr>
        <w:shd w:fill="F7F6F2" w:val="clear"/>
        <w:spacing w:after="200"/>
      </w:pPr>
      <w:r>
        <w:rPr>
          <w:i/>
          <w:iCs/>
          <w:color w:val="555555"/>
          <w:sz w:val="20"/>
          <w:szCs w:val="20"/>
        </w:rPr>
        <w:t xml:space="preserve">How to use this document: this is the ONLY place that should be treated as current. The files above were exploratory chats with three different AI tools and landed on three different target customers and two pricing sets — none of them should be referenced again for "what are we building." When something changes as the business develops, edit the relevant section below and bump the version number and date. Sections marked OPEN QUESTION are explicitly undecided — resolve them here, not by re-reading an old chat.</w:t>
      </w:r>
    </w:p>
    <w:p>
      <w:pPr>
        <w:pStyle w:val="Heading1"/>
        <w:spacing w:after="160" w:before="360"/>
      </w:pPr>
      <w:r>
        <w:t xml:space="preserve">1. Executive Summary</w:t>
      </w:r>
    </w:p>
    <w:p>
      <w:pPr>
        <w:spacing w:after="160"/>
      </w:pPr>
      <w:r>
        <w:t xml:space="preserve">DocFlow extracts structured data from unstructured inbound purchase orders (PDF, Excel, email, photos, faxes) sent by buyers to small and mid-size distributors, manufacturers, and wholesalers, and delivers clean, reviewed, exportable order data in place of manual re-keying.</w:t>
      </w:r>
    </w:p>
    <w:p>
      <w:pPr>
        <w:spacing w:after="120"/>
      </w:pPr>
      <w:r>
        <w:rPr>
          <w:b/>
          <w:bCs/>
        </w:rPr>
        <w:t xml:space="preserve">Target customer: </w:t>
      </w:r>
      <w:r>
        <w:t xml:space="preserve">the distributor/manufacturer/wholesaler receiving the messy PO — not the buyer sending it, and not a restaurant or bakery buying from suppliers. See Section 3 for the specific verticals.</w:t>
      </w:r>
    </w:p>
    <w:p>
      <w:pPr>
        <w:spacing w:after="120"/>
      </w:pPr>
      <w:r>
        <w:rPr>
          <w:b/>
          <w:bCs/>
        </w:rPr>
        <w:t xml:space="preserve">Core loop: </w:t>
      </w:r>
      <w:r>
        <w:t xml:space="preserve">customer forwards or uploads a PO → AI extracts header + line items → founder-configured matching against the customer's own catalog/customer list → human review in under 2 minutes → clean CSV/Excel/JSON export the customer imports into their own system.</w:t>
      </w:r>
    </w:p>
    <w:p>
      <w:pPr>
        <w:spacing w:after="120"/>
      </w:pPr>
      <w:r>
        <w:rPr>
          <w:b/>
          <w:bCs/>
        </w:rPr>
        <w:t xml:space="preserve">What this is not (MVP): </w:t>
      </w:r>
      <w:r>
        <w:t xml:space="preserve">DocFlow does not write directly into the customer's ERP (NetSuite, QuickBooks, SAP B1, Business Central, etc.). Output is a universal file export the customer imports themselves. See Section 6.</w:t>
      </w:r>
    </w:p>
    <w:p>
      <w:pPr>
        <w:pStyle w:val="Heading1"/>
        <w:spacing w:after="160" w:before="360"/>
      </w:pPr>
      <w:r>
        <w:t xml:space="preserve">2. What Changed From Earlier Drafts</w:t>
      </w:r>
    </w:p>
    <w:p>
      <w:pPr>
        <w:spacing w:after="160"/>
      </w:pPr>
      <w:r>
        <w:t xml:space="preserve">Three earlier explorations (with different AI tools, kept as raw files in the project) proposed three different target customers and two different pricing structures. This document resolves those conflicts as follows:</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50"/>
      </w:tblGrid>
      <w:tr>
        <w:trPr>
          <w:tblHeader/>
        </w:trPr>
        <w:tc>
          <w:tcPr>
            <w:tcW w:type="dxa" w:w="2400"/>
            <w:shd w:fill="0F6E56" w:val="clear"/>
            <w:tcMar>
              <w:top w:type="dxa" w:w="80"/>
              <w:left w:type="dxa" w:w="100"/>
              <w:bottom w:type="dxa" w:w="80"/>
              <w:right w:type="dxa" w:w="100"/>
            </w:tcMar>
          </w:tcPr>
          <w:p>
            <w:pPr>
              <w:jc w:val="left"/>
            </w:pPr>
            <w:r>
              <w:rPr>
                <w:b/>
                <w:bCs/>
                <w:color w:val="FFFFFF"/>
              </w:rPr>
              <w:t xml:space="preserve">Question</w:t>
            </w:r>
          </w:p>
        </w:tc>
        <w:tc>
          <w:tcPr>
            <w:tcW w:type="dxa" w:w="4300"/>
            <w:shd w:fill="0F6E56" w:val="clear"/>
            <w:tcMar>
              <w:top w:type="dxa" w:w="80"/>
              <w:left w:type="dxa" w:w="100"/>
              <w:bottom w:type="dxa" w:w="80"/>
              <w:right w:type="dxa" w:w="100"/>
            </w:tcMar>
          </w:tcPr>
          <w:p>
            <w:pPr>
              <w:jc w:val="left"/>
            </w:pPr>
            <w:r>
              <w:rPr>
                <w:b/>
                <w:bCs/>
                <w:color w:val="FFFFFF"/>
              </w:rPr>
              <w:t xml:space="preserve">Earlier drafts said</w:t>
            </w:r>
          </w:p>
        </w:tc>
        <w:tc>
          <w:tcPr>
            <w:tcW w:type="dxa" w:w="3050"/>
            <w:shd w:fill="0F6E56" w:val="clear"/>
            <w:tcMar>
              <w:top w:type="dxa" w:w="80"/>
              <w:left w:type="dxa" w:w="100"/>
              <w:bottom w:type="dxa" w:w="80"/>
              <w:right w:type="dxa" w:w="100"/>
            </w:tcMar>
          </w:tcPr>
          <w:p>
            <w:pPr>
              <w:jc w:val="left"/>
            </w:pPr>
            <w:r>
              <w:rPr>
                <w:b/>
                <w:bCs/>
                <w:color w:val="FFFFFF"/>
              </w:rPr>
              <w:t xml:space="preserve">Current decision</w:t>
            </w:r>
          </w:p>
        </w:tc>
      </w:tr>
      <w:tr>
        <w:tc>
          <w:tcPr>
            <w:tcW w:type="dxa" w:w="2400"/>
            <w:tcMar>
              <w:top w:type="dxa" w:w="80"/>
              <w:left w:type="dxa" w:w="100"/>
              <w:bottom w:type="dxa" w:w="80"/>
              <w:right w:type="dxa" w:w="100"/>
            </w:tcMar>
          </w:tcPr>
          <w:p>
            <w:pPr>
              <w:jc w:val="left"/>
            </w:pPr>
            <w:r>
              <w:rPr>
                <w:b w:val="false"/>
                <w:bCs w:val="false"/>
              </w:rPr>
              <w:t xml:space="preserve">Who is the customer?</w:t>
            </w:r>
          </w:p>
        </w:tc>
        <w:tc>
          <w:tcPr>
            <w:tcW w:type="dxa" w:w="4300"/>
            <w:tcMar>
              <w:top w:type="dxa" w:w="80"/>
              <w:left w:type="dxa" w:w="100"/>
              <w:bottom w:type="dxa" w:w="80"/>
              <w:right w:type="dxa" w:w="100"/>
            </w:tcMar>
          </w:tcPr>
          <w:p>
            <w:pPr>
              <w:jc w:val="left"/>
            </w:pPr>
            <w:r>
              <w:rPr>
                <w:b w:val="false"/>
                <w:bCs w:val="false"/>
              </w:rPr>
              <w:t xml:space="preserve">V1: distributor receiving inbound customer POs (Grok, early). V2: single-location restaurant/bakery receiving supplier invoices (Gemini + business summary + pitch deck). V3: small specialty distributors, 6 verticals (prospect spreadsheet).</w:t>
            </w:r>
          </w:p>
        </w:tc>
        <w:tc>
          <w:tcPr>
            <w:tcW w:type="dxa" w:w="3050"/>
            <w:tcMar>
              <w:top w:type="dxa" w:w="80"/>
              <w:left w:type="dxa" w:w="100"/>
              <w:bottom w:type="dxa" w:w="80"/>
              <w:right w:type="dxa" w:w="100"/>
            </w:tcMar>
          </w:tcPr>
          <w:p>
            <w:pPr>
              <w:jc w:val="left"/>
            </w:pPr>
            <w:r>
              <w:rPr>
                <w:b w:val="false"/>
                <w:bCs w:val="false"/>
              </w:rPr>
              <w:t xml:space="preserve">V3 — small specialty distributors from the prospect spreadsheet (chemicals, gases/welding, niche food, veterinary, JanSan, plastics), receiving inbound customer POs.</w:t>
            </w:r>
          </w:p>
        </w:tc>
      </w:tr>
      <w:tr>
        <w:tc>
          <w:tcPr>
            <w:tcW w:type="dxa" w:w="2400"/>
            <w:shd w:fill="F7F6F2" w:val="clear"/>
            <w:tcMar>
              <w:top w:type="dxa" w:w="80"/>
              <w:left w:type="dxa" w:w="100"/>
              <w:bottom w:type="dxa" w:w="80"/>
              <w:right w:type="dxa" w:w="100"/>
            </w:tcMar>
          </w:tcPr>
          <w:p>
            <w:pPr>
              <w:jc w:val="left"/>
            </w:pPr>
            <w:r>
              <w:rPr>
                <w:b w:val="false"/>
                <w:bCs w:val="false"/>
              </w:rPr>
              <w:t xml:space="preserve">What document flows in?</w:t>
            </w:r>
          </w:p>
        </w:tc>
        <w:tc>
          <w:tcPr>
            <w:tcW w:type="dxa" w:w="4300"/>
            <w:shd w:fill="F7F6F2" w:val="clear"/>
            <w:tcMar>
              <w:top w:type="dxa" w:w="80"/>
              <w:left w:type="dxa" w:w="100"/>
              <w:bottom w:type="dxa" w:w="80"/>
              <w:right w:type="dxa" w:w="100"/>
            </w:tcMar>
          </w:tcPr>
          <w:p>
            <w:pPr>
              <w:jc w:val="left"/>
            </w:pPr>
            <w:r>
              <w:rPr>
                <w:b w:val="false"/>
                <w:bCs w:val="false"/>
              </w:rPr>
              <w:t xml:space="preserve">Inbound customer PO (V1/V3) vs. supplier invoice (V2) — opposite direction of the same transaction.</w:t>
            </w:r>
          </w:p>
        </w:tc>
        <w:tc>
          <w:tcPr>
            <w:tcW w:type="dxa" w:w="3050"/>
            <w:shd w:fill="F7F6F2" w:val="clear"/>
            <w:tcMar>
              <w:top w:type="dxa" w:w="80"/>
              <w:left w:type="dxa" w:w="100"/>
              <w:bottom w:type="dxa" w:w="80"/>
              <w:right w:type="dxa" w:w="100"/>
            </w:tcMar>
          </w:tcPr>
          <w:p>
            <w:pPr>
              <w:jc w:val="left"/>
            </w:pPr>
            <w:r>
              <w:rPr>
                <w:b w:val="false"/>
                <w:bCs w:val="false"/>
              </w:rPr>
              <w:t xml:space="preserve">Inbound customer PO to the distributor. The restaurant/supplier-invoice angle is dropped entirely.</w:t>
            </w:r>
          </w:p>
        </w:tc>
      </w:tr>
      <w:tr>
        <w:tc>
          <w:tcPr>
            <w:tcW w:type="dxa" w:w="2400"/>
            <w:tcMar>
              <w:top w:type="dxa" w:w="80"/>
              <w:left w:type="dxa" w:w="100"/>
              <w:bottom w:type="dxa" w:w="80"/>
              <w:right w:type="dxa" w:w="100"/>
            </w:tcMar>
          </w:tcPr>
          <w:p>
            <w:pPr>
              <w:jc w:val="left"/>
            </w:pPr>
            <w:r>
              <w:rPr>
                <w:b w:val="false"/>
                <w:bCs w:val="false"/>
              </w:rPr>
              <w:t xml:space="preserve">Pricing</w:t>
            </w:r>
          </w:p>
        </w:tc>
        <w:tc>
          <w:tcPr>
            <w:tcW w:type="dxa" w:w="4300"/>
            <w:tcMar>
              <w:top w:type="dxa" w:w="80"/>
              <w:left w:type="dxa" w:w="100"/>
              <w:bottom w:type="dxa" w:w="80"/>
              <w:right w:type="dxa" w:w="100"/>
            </w:tcMar>
          </w:tcPr>
          <w:p>
            <w:pPr>
              <w:jc w:val="left"/>
            </w:pPr>
            <w:r>
              <w:rPr>
                <w:b w:val="false"/>
                <w:bCs w:val="false"/>
              </w:rPr>
              <w:t xml:space="preserve">Grok early: $300/mo flat + $150/mo invoice add-on. Grok later (revised): $299 / $399 / $599 tiers + $1,500 setup ($750 founding). Business summary/pitch deck: $150–200 / $350–450 / $600–900 tiers + $1,000–2,500 setup.</w:t>
            </w:r>
          </w:p>
        </w:tc>
        <w:tc>
          <w:tcPr>
            <w:tcW w:type="dxa" w:w="3050"/>
            <w:tcMar>
              <w:top w:type="dxa" w:w="80"/>
              <w:left w:type="dxa" w:w="100"/>
              <w:bottom w:type="dxa" w:w="80"/>
              <w:right w:type="dxa" w:w="100"/>
            </w:tcMar>
          </w:tcPr>
          <w:p>
            <w:pPr>
              <w:jc w:val="left"/>
            </w:pPr>
            <w:r>
              <w:rPr>
                <w:b w:val="false"/>
                <w:bCs w:val="false"/>
              </w:rPr>
              <w:t xml:space="preserve">Grok's latest revised pricing: $299 / $399 / $599 monthly tiers, $1,500 standard setup fee ($750 for founding customers). See Section 7.</w:t>
            </w:r>
          </w:p>
        </w:tc>
      </w:tr>
      <w:tr>
        <w:tc>
          <w:tcPr>
            <w:tcW w:type="dxa" w:w="2400"/>
            <w:shd w:fill="F7F6F2" w:val="clear"/>
            <w:tcMar>
              <w:top w:type="dxa" w:w="80"/>
              <w:left w:type="dxa" w:w="100"/>
              <w:bottom w:type="dxa" w:w="80"/>
              <w:right w:type="dxa" w:w="100"/>
            </w:tcMar>
          </w:tcPr>
          <w:p>
            <w:pPr>
              <w:jc w:val="left"/>
            </w:pPr>
            <w:r>
              <w:rPr>
                <w:b w:val="false"/>
                <w:bCs w:val="false"/>
              </w:rPr>
              <w:t xml:space="preserve">Fallback verticals</w:t>
            </w:r>
          </w:p>
        </w:tc>
        <w:tc>
          <w:tcPr>
            <w:tcW w:type="dxa" w:w="4300"/>
            <w:shd w:fill="F7F6F2" w:val="clear"/>
            <w:tcMar>
              <w:top w:type="dxa" w:w="80"/>
              <w:left w:type="dxa" w:w="100"/>
              <w:bottom w:type="dxa" w:w="80"/>
              <w:right w:type="dxa" w:w="100"/>
            </w:tcMar>
          </w:tcPr>
          <w:p>
            <w:pPr>
              <w:jc w:val="left"/>
            </w:pPr>
            <w:r>
              <w:rPr>
                <w:b w:val="false"/>
                <w:bCs w:val="false"/>
              </w:rPr>
              <w:t xml:space="preserve">Business summary named salon/beauty supply and veterinary as fallbacks if food &amp; beverage didn't validate.</w:t>
            </w:r>
          </w:p>
        </w:tc>
        <w:tc>
          <w:tcPr>
            <w:tcW w:type="dxa" w:w="3050"/>
            <w:shd w:fill="F7F6F2" w:val="clear"/>
            <w:tcMar>
              <w:top w:type="dxa" w:w="80"/>
              <w:left w:type="dxa" w:w="100"/>
              <w:bottom w:type="dxa" w:w="80"/>
              <w:right w:type="dxa" w:w="100"/>
            </w:tcMar>
          </w:tcPr>
          <w:p>
            <w:pPr>
              <w:jc w:val="left"/>
            </w:pPr>
            <w:r>
              <w:rPr>
                <w:b w:val="false"/>
                <w:bCs w:val="false"/>
              </w:rPr>
              <w:t xml:space="preserve">Dropped as a separate fallback category — veterinary is already one of the 6 primary verticals in the current target list; salon/beauty is out of scope unless reintroduced deliberately.</w:t>
            </w:r>
          </w:p>
        </w:tc>
      </w:tr>
      <w:tr>
        <w:tc>
          <w:tcPr>
            <w:tcW w:type="dxa" w:w="2400"/>
            <w:tcMar>
              <w:top w:type="dxa" w:w="80"/>
              <w:left w:type="dxa" w:w="100"/>
              <w:bottom w:type="dxa" w:w="80"/>
              <w:right w:type="dxa" w:w="100"/>
            </w:tcMar>
          </w:tcPr>
          <w:p>
            <w:pPr>
              <w:jc w:val="left"/>
            </w:pPr>
            <w:r>
              <w:rPr>
                <w:b w:val="false"/>
                <w:bCs w:val="false"/>
              </w:rPr>
              <w:t xml:space="preserve">ERP integration</w:t>
            </w:r>
          </w:p>
        </w:tc>
        <w:tc>
          <w:tcPr>
            <w:tcW w:type="dxa" w:w="4300"/>
            <w:tcMar>
              <w:top w:type="dxa" w:w="80"/>
              <w:left w:type="dxa" w:w="100"/>
              <w:bottom w:type="dxa" w:w="80"/>
              <w:right w:type="dxa" w:w="100"/>
            </w:tcMar>
          </w:tcPr>
          <w:p>
            <w:pPr>
              <w:jc w:val="left"/>
            </w:pPr>
            <w:r>
              <w:rPr>
                <w:b w:val="false"/>
                <w:bCs w:val="false"/>
              </w:rPr>
              <w:t xml:space="preserve">Docs agreed MVP ships export files, not live sync — but this wasn't stated as a standing constraint anywhere central.</w:t>
            </w:r>
          </w:p>
        </w:tc>
        <w:tc>
          <w:tcPr>
            <w:tcW w:type="dxa" w:w="3050"/>
            <w:tcMar>
              <w:top w:type="dxa" w:w="80"/>
              <w:left w:type="dxa" w:w="100"/>
              <w:bottom w:type="dxa" w:w="80"/>
              <w:right w:type="dxa" w:w="100"/>
            </w:tcMar>
          </w:tcPr>
          <w:p>
            <w:pPr>
              <w:jc w:val="left"/>
            </w:pPr>
            <w:r>
              <w:rPr>
                <w:b w:val="false"/>
                <w:bCs w:val="false"/>
              </w:rPr>
              <w:t xml:space="preserve">Explicitly confirmed as an MVP constraint here — see Section 6. Not a maybe, not implied only in one file.</w:t>
            </w:r>
          </w:p>
        </w:tc>
      </w:tr>
    </w:tbl>
    <w:p>
      <w:pPr>
        <w:pStyle w:val="Heading1"/>
        <w:spacing w:after="160" w:before="360"/>
      </w:pPr>
      <w:r>
        <w:t xml:space="preserve">3. Target Customer</w:t>
      </w:r>
    </w:p>
    <w:p>
      <w:pPr>
        <w:spacing w:after="160"/>
      </w:pPr>
      <w:r>
        <w:t xml:space="preserve">Small, independent (non-roll-up), regional specialty distributors that receive purchase orders from their own customers in unstructured form (PDF, Excel, email body text, photos/faxes) and currently re-key them by hand.</w:t>
      </w:r>
    </w:p>
    <w:p>
      <w:pPr>
        <w:pStyle w:val="Heading2"/>
        <w:spacing w:after="120" w:before="280"/>
      </w:pPr>
      <w:r>
        <w:t xml:space="preserve">3.1 Verticals (from the prospect research spreadsheet)</w:t>
      </w:r>
    </w:p>
    <w:p>
      <w:pPr>
        <w:pStyle w:val="ListParagraph"/>
        <w:numPr>
          <w:ilvl w:val="0"/>
          <w:numId w:val="2"/>
        </w:numPr>
        <w:spacing w:after="80"/>
      </w:pPr>
      <w:r>
        <w:t xml:space="preserve">Specialty chemicals</w:t>
      </w:r>
    </w:p>
    <w:p>
      <w:pPr>
        <w:pStyle w:val="ListParagraph"/>
        <w:numPr>
          <w:ilvl w:val="0"/>
          <w:numId w:val="2"/>
        </w:numPr>
        <w:spacing w:after="80"/>
      </w:pPr>
      <w:r>
        <w:t xml:space="preserve">Gases &amp; welding supply</w:t>
      </w:r>
    </w:p>
    <w:p>
      <w:pPr>
        <w:pStyle w:val="ListParagraph"/>
        <w:numPr>
          <w:ilvl w:val="0"/>
          <w:numId w:val="2"/>
        </w:numPr>
        <w:spacing w:after="80"/>
      </w:pPr>
      <w:r>
        <w:t xml:space="preserve">Niche / specialty food</w:t>
      </w:r>
    </w:p>
    <w:p>
      <w:pPr>
        <w:pStyle w:val="ListParagraph"/>
        <w:numPr>
          <w:ilvl w:val="0"/>
          <w:numId w:val="2"/>
        </w:numPr>
        <w:spacing w:after="80"/>
      </w:pPr>
      <w:r>
        <w:t xml:space="preserve">Veterinary supply</w:t>
      </w:r>
    </w:p>
    <w:p>
      <w:pPr>
        <w:pStyle w:val="ListParagraph"/>
        <w:numPr>
          <w:ilvl w:val="0"/>
          <w:numId w:val="2"/>
        </w:numPr>
        <w:spacing w:after="80"/>
      </w:pPr>
      <w:r>
        <w:t xml:space="preserve">JanSan / packaging</w:t>
      </w:r>
    </w:p>
    <w:p>
      <w:pPr>
        <w:pStyle w:val="ListParagraph"/>
        <w:numPr>
          <w:ilvl w:val="0"/>
          <w:numId w:val="2"/>
        </w:numPr>
        <w:spacing w:after="80"/>
      </w:pPr>
      <w:r>
        <w:t xml:space="preserve">Plastics</w:t>
      </w:r>
    </w:p>
    <w:p>
      <w:pPr>
        <w:pStyle w:val="Heading2"/>
        <w:spacing w:after="120" w:before="280"/>
      </w:pPr>
      <w:r>
        <w:t xml:space="preserve">3.2 Ideal customer profile</w:t>
      </w:r>
    </w:p>
    <w:p>
      <w:pPr>
        <w:pStyle w:val="ListParagraph"/>
        <w:numPr>
          <w:ilvl w:val="0"/>
          <w:numId w:val="2"/>
        </w:numPr>
        <w:spacing w:after="80"/>
      </w:pPr>
      <w:r>
        <w:t xml:space="preserve">Independently or family/employee-owned — not acquired by a national consolidator (Brenntag, Imperial Dade, BradyPLUS, etc.). This is the single biggest disqualifier: an acquired branch's order intake is normally centralized at the parent, with no local budget authority.</w:t>
      </w:r>
    </w:p>
    <w:p>
      <w:pPr>
        <w:pStyle w:val="ListParagraph"/>
        <w:numPr>
          <w:ilvl w:val="0"/>
          <w:numId w:val="2"/>
        </w:numPr>
        <w:spacing w:after="80"/>
      </w:pPr>
      <w:r>
        <w:t xml:space="preserve">Small: roughly 10–100 employees, single or a few locations.</w:t>
      </w:r>
    </w:p>
    <w:p>
      <w:pPr>
        <w:pStyle w:val="ListParagraph"/>
        <w:numPr>
          <w:ilvl w:val="0"/>
          <w:numId w:val="2"/>
        </w:numPr>
        <w:spacing w:after="80"/>
      </w:pPr>
      <w:r>
        <w:t xml:space="preserve">Legacy/manual signal: older founding date, no "technology-driven" positioning, no e-commerce-forward branding.</w:t>
      </w:r>
    </w:p>
    <w:p>
      <w:pPr>
        <w:pStyle w:val="ListParagraph"/>
        <w:numPr>
          <w:ilvl w:val="0"/>
          <w:numId w:val="2"/>
        </w:numPr>
        <w:spacing w:after="80"/>
      </w:pPr>
      <w:r>
        <w:t xml:space="preserve">Reachable: owner/founder plausibly the person who sees a direct email or LinkedIn message — not buried behind a multi-layer corporate structure.</w:t>
      </w:r>
    </w:p>
    <w:p>
      <w:pPr>
        <w:pStyle w:val="Heading2"/>
        <w:spacing w:after="120" w:before="280"/>
      </w:pPr>
      <w:r>
        <w:t xml:space="preserve">3.3 Prospect list status</w:t>
      </w:r>
    </w:p>
    <w:p>
      <w:pPr>
        <w:spacing w:after="160"/>
      </w:pPr>
      <w:r>
        <w:t xml:space="preserve">50 companies have been researched and scored (Independence 30% / Size Fit 25% / Legacy Signal 25% / Reachability 20%) in the prospect spreadsheet: 24 in Tier A (High Priority), 15 in Tier B, 11 in Tier C. This is a prioritized research queue, not a verified contact list — no names, emails, or phone numbers have been collected yet. Before outreach: confirm current ownership status per company (roll-up activity can change this) and find an actual contact.</w:t>
      </w:r>
    </w:p>
    <w:p>
      <w:pPr>
        <w:spacing w:after="120"/>
      </w:pPr>
      <w:r>
        <w:rPr>
          <w:b/>
          <w:bCs/>
          <w:color w:val="993C1D"/>
        </w:rPr>
        <w:t xml:space="preserve">OPEN QUESTION: </w:t>
      </w:r>
      <w:r>
        <w:rPr>
          <w:color w:val="993C1D"/>
        </w:rPr>
        <w:t xml:space="preserve">Has outreach started against the Tier A list yet, and if so, what's the response so far? This section should be updated with real conversation results as they come in.</w:t>
      </w:r>
    </w:p>
    <w:p>
      <w:pPr>
        <w:pStyle w:val="Heading1"/>
        <w:spacing w:after="160" w:before="360"/>
      </w:pPr>
      <w:r>
        <w:t xml:space="preserve">4. Problem &amp; Value Proposition</w:t>
      </w:r>
    </w:p>
    <w:p>
      <w:pPr>
        <w:spacing w:after="120"/>
      </w:pPr>
      <w:r>
        <w:rPr>
          <w:b/>
          <w:bCs/>
        </w:rPr>
        <w:t xml:space="preserve">The problem: </w:t>
      </w:r>
      <w:r>
        <w:t xml:space="preserve">buyers send POs to distributors as PDFs, Excel files, or plain email text, in as many formats as there are customers. A large share of B2B order volume — commonly cited above 60% in mid-market distribution — still arrives this way even when EDI and seller portals exist, because adoption of those is low among the long tail of smaller buyers. Someone at the distributor manually re-keys each PO into the ERP as a sales order. Errors cascade into wrong shipments, returns, chargebacks, and delayed invoicing.</w:t>
      </w:r>
    </w:p>
    <w:p>
      <w:pPr>
        <w:spacing w:after="120"/>
      </w:pPr>
      <w:r>
        <w:rPr>
          <w:b/>
          <w:bCs/>
        </w:rPr>
        <w:t xml:space="preserve">The value proposition: </w:t>
      </w:r>
      <w:r>
        <w:t xml:space="preserve">turn a messy inbound PO into clean, matched, reviewable sales-order data in minutes instead of hours, with the system learning from every human correction so accuracy compounds per customer over time.</w:t>
      </w:r>
    </w:p>
    <w:p>
      <w:pPr>
        <w:pStyle w:val="Heading1"/>
        <w:spacing w:after="160" w:before="360"/>
      </w:pPr>
      <w:r>
        <w:t xml:space="preserve">5. How It Works (Product Loop)</w:t>
      </w:r>
    </w:p>
    <w:p>
      <w:pPr>
        <w:pStyle w:val="Heading2"/>
        <w:spacing w:after="120" w:before="280"/>
      </w:pPr>
      <w:r>
        <w:t xml:space="preserve">5.1 Onboarding (one-time per customer)</w:t>
      </w:r>
    </w:p>
    <w:p>
      <w:pPr>
        <w:pStyle w:val="ListParagraph"/>
        <w:numPr>
          <w:ilvl w:val="0"/>
          <w:numId w:val="2"/>
        </w:numPr>
        <w:spacing w:after="80"/>
      </w:pPr>
      <w:r>
        <w:t xml:space="preserve">Upload/clean the customer's item &amp; SKU catalog</w:t>
      </w:r>
    </w:p>
    <w:p>
      <w:pPr>
        <w:pStyle w:val="ListParagraph"/>
        <w:numPr>
          <w:ilvl w:val="0"/>
          <w:numId w:val="2"/>
        </w:numPr>
        <w:spacing w:after="80"/>
      </w:pPr>
      <w:r>
        <w:t xml:space="preserve">Upload the customer's own customer list</w:t>
      </w:r>
    </w:p>
    <w:p>
      <w:pPr>
        <w:pStyle w:val="ListParagraph"/>
        <w:numPr>
          <w:ilvl w:val="0"/>
          <w:numId w:val="2"/>
        </w:numPr>
        <w:spacing w:after="80"/>
      </w:pPr>
      <w:r>
        <w:t xml:space="preserve">Configure their unique inbound intake email address</w:t>
      </w:r>
    </w:p>
    <w:p>
      <w:pPr>
        <w:pStyle w:val="ListParagraph"/>
        <w:numPr>
          <w:ilvl w:val="0"/>
          <w:numId w:val="2"/>
        </w:numPr>
        <w:spacing w:after="80"/>
      </w:pPr>
      <w:r>
        <w:t xml:space="preserve">Test against 5–10 of their real recent POs</w:t>
      </w:r>
    </w:p>
    <w:p>
      <w:pPr>
        <w:pStyle w:val="ListParagraph"/>
        <w:numPr>
          <w:ilvl w:val="0"/>
          <w:numId w:val="2"/>
        </w:numPr>
        <w:spacing w:after="80"/>
      </w:pPr>
      <w:r>
        <w:t xml:space="preserve">Initial mapping of their common buyer formats</w:t>
      </w:r>
    </w:p>
    <w:p>
      <w:pPr>
        <w:pStyle w:val="ListParagraph"/>
        <w:numPr>
          <w:ilvl w:val="0"/>
          <w:numId w:val="2"/>
        </w:numPr>
        <w:spacing w:after="80"/>
      </w:pPr>
      <w:r>
        <w:t xml:space="preserve">Team training session + go-live checklist</w:t>
      </w:r>
    </w:p>
    <w:p>
      <w:pPr>
        <w:pStyle w:val="Heading2"/>
        <w:spacing w:after="120" w:before="280"/>
      </w:pPr>
      <w:r>
        <w:t xml:space="preserve">5.2 Steady state (ongoing, automatic)</w:t>
      </w:r>
    </w:p>
    <w:p>
      <w:pPr>
        <w:pStyle w:val="ListParagraph"/>
        <w:numPr>
          <w:ilvl w:val="0"/>
          <w:numId w:val="2"/>
        </w:numPr>
        <w:spacing w:after="80"/>
      </w:pPr>
      <w:r>
        <w:t xml:space="preserve">New PO arrives by email forward or upload</w:t>
      </w:r>
    </w:p>
    <w:p>
      <w:pPr>
        <w:pStyle w:val="ListParagraph"/>
        <w:numPr>
          <w:ilvl w:val="0"/>
          <w:numId w:val="2"/>
        </w:numPr>
        <w:spacing w:after="80"/>
      </w:pPr>
      <w:r>
        <w:t xml:space="preserve">AI extracts header + line-item fields against the agreed schema</w:t>
      </w:r>
    </w:p>
    <w:p>
      <w:pPr>
        <w:pStyle w:val="ListParagraph"/>
        <w:numPr>
          <w:ilvl w:val="0"/>
          <w:numId w:val="2"/>
        </w:numPr>
        <w:spacing w:after="80"/>
      </w:pPr>
      <w:r>
        <w:t xml:space="preserve">Customer &amp; SKU matching runs against catalog + learned mappings</w:t>
      </w:r>
    </w:p>
    <w:p>
      <w:pPr>
        <w:pStyle w:val="ListParagraph"/>
        <w:numPr>
          <w:ilvl w:val="0"/>
          <w:numId w:val="2"/>
        </w:numPr>
        <w:spacing w:after="80"/>
      </w:pPr>
      <w:r>
        <w:t xml:space="preserve">Confidence scoring + rule-based validation flags anything uncertain</w:t>
      </w:r>
    </w:p>
    <w:p>
      <w:pPr>
        <w:pStyle w:val="ListParagraph"/>
        <w:numPr>
          <w:ilvl w:val="0"/>
          <w:numId w:val="2"/>
        </w:numPr>
        <w:spacing w:after="80"/>
      </w:pPr>
      <w:r>
        <w:t xml:space="preserve">Duplicate / possible-change-order detection runs against existing PO numbers</w:t>
      </w:r>
    </w:p>
    <w:p>
      <w:pPr>
        <w:pStyle w:val="ListParagraph"/>
        <w:numPr>
          <w:ilvl w:val="0"/>
          <w:numId w:val="2"/>
        </w:numPr>
        <w:spacing w:after="80"/>
      </w:pPr>
      <w:r>
        <w:t xml:space="preserve">Human reviews side-by-side (original doc vs. extracted data), corrects if needed — target under 2 minutes per document</w:t>
      </w:r>
    </w:p>
    <w:p>
      <w:pPr>
        <w:pStyle w:val="ListParagraph"/>
        <w:numPr>
          <w:ilvl w:val="0"/>
          <w:numId w:val="2"/>
        </w:numPr>
        <w:spacing w:after="80"/>
      </w:pPr>
      <w:r>
        <w:t xml:space="preserve">Corrections are saved as persistent customer_item_mappings, so accuracy improves per customer over time</w:t>
      </w:r>
    </w:p>
    <w:p>
      <w:pPr>
        <w:pStyle w:val="ListParagraph"/>
        <w:numPr>
          <w:ilvl w:val="0"/>
          <w:numId w:val="2"/>
        </w:numPr>
        <w:spacing w:after="80"/>
      </w:pPr>
      <w:r>
        <w:t xml:space="preserve">Approved order exports as clean CSV / Excel / JSON</w:t>
      </w:r>
    </w:p>
    <w:p>
      <w:pPr>
        <w:pStyle w:val="Heading1"/>
        <w:spacing w:after="160" w:before="360"/>
      </w:pPr>
      <w:r>
        <w:t xml:space="preserve">6. Export &amp; ERP Integration — Explicit MVP Constraint</w:t>
      </w:r>
    </w:p>
    <w:p>
      <w:pPr>
        <w:spacing w:after="160"/>
      </w:pPr>
      <w:r>
        <w:rPr>
          <w:b/>
          <w:bCs/>
        </w:rPr>
        <w:t xml:space="preserve">DocFlow does not write directly into the customer's ERP or accounting system in the MVP. </w:t>
      </w:r>
      <w:r>
        <w:t xml:space="preserve">There is no live sync agent into NetSuite, QuickBooks (Desktop or Online), SAP B1, Business Central, Sage, or any other system. This is a deliberate scope boundary, not an oversight.</w:t>
      </w:r>
    </w:p>
    <w:p>
      <w:pPr>
        <w:spacing w:after="160"/>
      </w:pPr>
      <w:r>
        <w:t xml:space="preserve">Instead, every customer gets a universal export they import themselves:</w:t>
      </w:r>
    </w:p>
    <w:p>
      <w:pPr>
        <w:pStyle w:val="ListParagraph"/>
        <w:numPr>
          <w:ilvl w:val="0"/>
          <w:numId w:val="2"/>
        </w:numPr>
        <w:spacing w:after="80"/>
      </w:pPr>
      <w:r>
        <w:t xml:space="preserve">CSV — primary format, one row per line item, header fields repeated</w:t>
      </w:r>
    </w:p>
    <w:p>
      <w:pPr>
        <w:pStyle w:val="ListParagraph"/>
        <w:numPr>
          <w:ilvl w:val="0"/>
          <w:numId w:val="2"/>
        </w:numPr>
        <w:spacing w:after="80"/>
      </w:pPr>
      <w:r>
        <w:t xml:space="preserve">Excel (.xlsx) — same structure</w:t>
      </w:r>
    </w:p>
    <w:p>
      <w:pPr>
        <w:pStyle w:val="ListParagraph"/>
        <w:numPr>
          <w:ilvl w:val="0"/>
          <w:numId w:val="2"/>
        </w:numPr>
        <w:spacing w:after="80"/>
      </w:pPr>
      <w:r>
        <w:t xml:space="preserve">JSON — for customers who want to pipe it into something themselves</w:t>
      </w:r>
    </w:p>
    <w:p>
      <w:pPr>
        <w:pStyle w:val="ListParagraph"/>
        <w:numPr>
          <w:ilvl w:val="0"/>
          <w:numId w:val="2"/>
        </w:numPr>
        <w:spacing w:after="80"/>
      </w:pPr>
      <w:r>
        <w:t xml:space="preserve">IIF file — for QuickBooks Desktop users specifically, since it's a common legacy case worth the small extra effort</w:t>
      </w:r>
    </w:p>
    <w:p>
      <w:pPr>
        <w:spacing w:after="160"/>
      </w:pPr>
      <w:r>
        <w:t xml:space="preserve">The value proposition is "your data is clean and structured — you import it however works for your system," not "we sync directly into your ERP." This is a deliberate advantage for the MVP stage: faster onboarding (no ERP integration engineering), a simpler product with fewer failure points, an easier live demo, and lower perceived switching cost for the prospect.</w:t>
      </w:r>
    </w:p>
    <w:p>
      <w:pPr>
        <w:spacing w:after="120"/>
      </w:pPr>
      <w:r>
        <w:rPr>
          <w:b/>
          <w:bCs/>
        </w:rPr>
        <w:t xml:space="preserve">When native ERP integration might get built: </w:t>
      </w:r>
      <w:r>
        <w:t xml:space="preserve">only post-MVP, and only for the 1–2 specific systems actual paying customers ask for most — decided from real conversations, not guessed upfront. Not a Phase 0–6 MVP item under any circumstance.</w:t>
      </w:r>
    </w:p>
    <w:p>
      <w:pPr>
        <w:pStyle w:val="Heading1"/>
        <w:spacing w:after="160" w:before="360"/>
      </w:pPr>
      <w:r>
        <w:t xml:space="preserve">7. Pricing (Grok's Latest Revision — Current)</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50"/>
      </w:tblGrid>
      <w:tr>
        <w:trPr>
          <w:tblHeader/>
        </w:trPr>
        <w:tc>
          <w:tcPr>
            <w:tcW w:type="dxa" w:w="2200"/>
            <w:shd w:fill="0F6E56" w:val="clear"/>
            <w:tcMar>
              <w:top w:type="dxa" w:w="80"/>
              <w:left w:type="dxa" w:w="100"/>
              <w:bottom w:type="dxa" w:w="80"/>
              <w:right w:type="dxa" w:w="100"/>
            </w:tcMar>
          </w:tcPr>
          <w:p>
            <w:pPr>
              <w:jc w:val="left"/>
            </w:pPr>
            <w:r>
              <w:rPr>
                <w:b/>
                <w:bCs/>
                <w:color w:val="FFFFFF"/>
              </w:rPr>
              <w:t xml:space="preserve">Plan</w:t>
            </w:r>
          </w:p>
        </w:tc>
        <w:tc>
          <w:tcPr>
            <w:tcW w:type="dxa" w:w="2200"/>
            <w:shd w:fill="0F6E56" w:val="clear"/>
            <w:tcMar>
              <w:top w:type="dxa" w:w="80"/>
              <w:left w:type="dxa" w:w="100"/>
              <w:bottom w:type="dxa" w:w="80"/>
              <w:right w:type="dxa" w:w="100"/>
            </w:tcMar>
          </w:tcPr>
          <w:p>
            <w:pPr>
              <w:jc w:val="left"/>
            </w:pPr>
            <w:r>
              <w:rPr>
                <w:b/>
                <w:bCs/>
                <w:color w:val="FFFFFF"/>
              </w:rPr>
              <w:t xml:space="preserve">Monthly Price</w:t>
            </w:r>
          </w:p>
        </w:tc>
        <w:tc>
          <w:tcPr>
            <w:tcW w:type="dxa" w:w="5350"/>
            <w:shd w:fill="0F6E56" w:val="clear"/>
            <w:tcMar>
              <w:top w:type="dxa" w:w="80"/>
              <w:left w:type="dxa" w:w="100"/>
              <w:bottom w:type="dxa" w:w="80"/>
              <w:right w:type="dxa" w:w="100"/>
            </w:tcMar>
          </w:tcPr>
          <w:p>
            <w:pPr>
              <w:jc w:val="left"/>
            </w:pPr>
            <w:r>
              <w:rPr>
                <w:b/>
                <w:bCs/>
                <w:color w:val="FFFFFF"/>
              </w:rPr>
              <w:t xml:space="preserve">Notes</w:t>
            </w:r>
          </w:p>
        </w:tc>
      </w:tr>
      <w:tr>
        <w:tc>
          <w:tcPr>
            <w:tcW w:type="dxa" w:w="2200"/>
            <w:tcMar>
              <w:top w:type="dxa" w:w="80"/>
              <w:left w:type="dxa" w:w="100"/>
              <w:bottom w:type="dxa" w:w="80"/>
              <w:right w:type="dxa" w:w="100"/>
            </w:tcMar>
          </w:tcPr>
          <w:p>
            <w:pPr>
              <w:jc w:val="left"/>
            </w:pPr>
            <w:r>
              <w:rPr>
                <w:b w:val="false"/>
                <w:bCs w:val="false"/>
              </w:rPr>
              <w:t xml:space="preserve">Starter</w:t>
            </w:r>
          </w:p>
        </w:tc>
        <w:tc>
          <w:tcPr>
            <w:tcW w:type="dxa" w:w="2200"/>
            <w:tcMar>
              <w:top w:type="dxa" w:w="80"/>
              <w:left w:type="dxa" w:w="100"/>
              <w:bottom w:type="dxa" w:w="80"/>
              <w:right w:type="dxa" w:w="100"/>
            </w:tcMar>
          </w:tcPr>
          <w:p>
            <w:pPr>
              <w:jc w:val="left"/>
            </w:pPr>
            <w:r>
              <w:rPr>
                <w:b w:val="false"/>
                <w:bCs w:val="false"/>
              </w:rPr>
              <w:t xml:space="preserve">$299</w:t>
            </w:r>
          </w:p>
        </w:tc>
        <w:tc>
          <w:tcPr>
            <w:tcW w:type="dxa" w:w="5350"/>
            <w:tcMar>
              <w:top w:type="dxa" w:w="80"/>
              <w:left w:type="dxa" w:w="100"/>
              <w:bottom w:type="dxa" w:w="80"/>
              <w:right w:type="dxa" w:w="100"/>
            </w:tcMar>
          </w:tcPr>
          <w:p>
            <w:pPr>
              <w:jc w:val="left"/>
            </w:pPr>
            <w:r>
              <w:rPr>
                <w:b w:val="false"/>
                <w:bCs w:val="false"/>
              </w:rPr>
              <w:t xml:space="preserve">Entry point, lower-volume customers</w:t>
            </w:r>
          </w:p>
        </w:tc>
      </w:tr>
      <w:tr>
        <w:tc>
          <w:tcPr>
            <w:tcW w:type="dxa" w:w="2200"/>
            <w:shd w:fill="F7F6F2" w:val="clear"/>
            <w:tcMar>
              <w:top w:type="dxa" w:w="80"/>
              <w:left w:type="dxa" w:w="100"/>
              <w:bottom w:type="dxa" w:w="80"/>
              <w:right w:type="dxa" w:w="100"/>
            </w:tcMar>
          </w:tcPr>
          <w:p>
            <w:pPr>
              <w:jc w:val="left"/>
            </w:pPr>
            <w:r>
              <w:rPr>
                <w:b w:val="false"/>
                <w:bCs w:val="false"/>
              </w:rPr>
              <w:t xml:space="preserve">Growth</w:t>
            </w:r>
          </w:p>
        </w:tc>
        <w:tc>
          <w:tcPr>
            <w:tcW w:type="dxa" w:w="2200"/>
            <w:shd w:fill="F7F6F2" w:val="clear"/>
            <w:tcMar>
              <w:top w:type="dxa" w:w="80"/>
              <w:left w:type="dxa" w:w="100"/>
              <w:bottom w:type="dxa" w:w="80"/>
              <w:right w:type="dxa" w:w="100"/>
            </w:tcMar>
          </w:tcPr>
          <w:p>
            <w:pPr>
              <w:jc w:val="left"/>
            </w:pPr>
            <w:r>
              <w:rPr>
                <w:b w:val="false"/>
                <w:bCs w:val="false"/>
              </w:rPr>
              <w:t xml:space="preserve">$399</w:t>
            </w:r>
          </w:p>
        </w:tc>
        <w:tc>
          <w:tcPr>
            <w:tcW w:type="dxa" w:w="5350"/>
            <w:shd w:fill="F7F6F2" w:val="clear"/>
            <w:tcMar>
              <w:top w:type="dxa" w:w="80"/>
              <w:left w:type="dxa" w:w="100"/>
              <w:bottom w:type="dxa" w:w="80"/>
              <w:right w:type="dxa" w:w="100"/>
            </w:tcMar>
          </w:tcPr>
          <w:p>
            <w:pPr>
              <w:jc w:val="left"/>
            </w:pPr>
            <w:r>
              <w:rPr>
                <w:b w:val="false"/>
                <w:bCs w:val="false"/>
              </w:rPr>
              <w:t xml:space="preserve">Main recommended plan for a typical customer</w:t>
            </w:r>
          </w:p>
        </w:tc>
      </w:tr>
      <w:tr>
        <w:tc>
          <w:tcPr>
            <w:tcW w:type="dxa" w:w="2200"/>
            <w:tcMar>
              <w:top w:type="dxa" w:w="80"/>
              <w:left w:type="dxa" w:w="100"/>
              <w:bottom w:type="dxa" w:w="80"/>
              <w:right w:type="dxa" w:w="100"/>
            </w:tcMar>
          </w:tcPr>
          <w:p>
            <w:pPr>
              <w:jc w:val="left"/>
            </w:pPr>
            <w:r>
              <w:rPr>
                <w:b w:val="false"/>
                <w:bCs w:val="false"/>
              </w:rPr>
              <w:t xml:space="preserve">Scale</w:t>
            </w:r>
          </w:p>
        </w:tc>
        <w:tc>
          <w:tcPr>
            <w:tcW w:type="dxa" w:w="2200"/>
            <w:tcMar>
              <w:top w:type="dxa" w:w="80"/>
              <w:left w:type="dxa" w:w="100"/>
              <w:bottom w:type="dxa" w:w="80"/>
              <w:right w:type="dxa" w:w="100"/>
            </w:tcMar>
          </w:tcPr>
          <w:p>
            <w:pPr>
              <w:jc w:val="left"/>
            </w:pPr>
            <w:r>
              <w:rPr>
                <w:b w:val="false"/>
                <w:bCs w:val="false"/>
              </w:rPr>
              <w:t xml:space="preserve">$599</w:t>
            </w:r>
          </w:p>
        </w:tc>
        <w:tc>
          <w:tcPr>
            <w:tcW w:type="dxa" w:w="5350"/>
            <w:tcMar>
              <w:top w:type="dxa" w:w="80"/>
              <w:left w:type="dxa" w:w="100"/>
              <w:bottom w:type="dxa" w:w="80"/>
              <w:right w:type="dxa" w:w="100"/>
            </w:tcMar>
          </w:tcPr>
          <w:p>
            <w:pPr>
              <w:jc w:val="left"/>
            </w:pPr>
            <w:r>
              <w:rPr>
                <w:b w:val="false"/>
                <w:bCs w:val="false"/>
              </w:rPr>
              <w:t xml:space="preserve">Higher-volume or multi-location customers</w:t>
            </w:r>
          </w:p>
        </w:tc>
      </w:tr>
    </w:tbl>
    <w:p>
      <w:pPr>
        <w:spacing w:after="120"/>
      </w:pPr>
    </w:p>
    <w:p>
      <w:pPr>
        <w:spacing w:after="120"/>
      </w:pPr>
      <w:r>
        <w:rPr>
          <w:b/>
          <w:bCs/>
        </w:rPr>
        <w:t xml:space="preserve">Setup fee: </w:t>
      </w:r>
      <w:r>
        <w:t xml:space="preserve">$1,500 standard, $750 for founding customers (first cohort discount).</w:t>
      </w:r>
    </w:p>
    <w:p>
      <w:pPr>
        <w:pStyle w:val="Heading2"/>
        <w:spacing w:after="120" w:before="280"/>
      </w:pPr>
      <w:r>
        <w:t xml:space="preserve">7.1 Founding customer promo (first 90 days)</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50"/>
      </w:tblGrid>
      <w:tr>
        <w:trPr>
          <w:tblHeader/>
        </w:trPr>
        <w:tc>
          <w:tcPr>
            <w:tcW w:type="dxa" w:w="2200"/>
            <w:shd w:fill="0F6E56" w:val="clear"/>
            <w:tcMar>
              <w:top w:type="dxa" w:w="80"/>
              <w:left w:type="dxa" w:w="100"/>
              <w:bottom w:type="dxa" w:w="80"/>
              <w:right w:type="dxa" w:w="100"/>
            </w:tcMar>
          </w:tcPr>
          <w:p>
            <w:pPr>
              <w:jc w:val="left"/>
            </w:pPr>
            <w:r>
              <w:rPr>
                <w:b/>
                <w:bCs/>
                <w:color w:val="FFFFFF"/>
              </w:rPr>
              <w:t xml:space="preserve">Plan</w:t>
            </w:r>
          </w:p>
        </w:tc>
        <w:tc>
          <w:tcPr>
            <w:tcW w:type="dxa" w:w="2200"/>
            <w:shd w:fill="0F6E56" w:val="clear"/>
            <w:tcMar>
              <w:top w:type="dxa" w:w="80"/>
              <w:left w:type="dxa" w:w="100"/>
              <w:bottom w:type="dxa" w:w="80"/>
              <w:right w:type="dxa" w:w="100"/>
            </w:tcMar>
          </w:tcPr>
          <w:p>
            <w:pPr>
              <w:jc w:val="left"/>
            </w:pPr>
            <w:r>
              <w:rPr>
                <w:b/>
                <w:bCs/>
                <w:color w:val="FFFFFF"/>
              </w:rPr>
              <w:t xml:space="preserve">Promo price</w:t>
            </w:r>
          </w:p>
        </w:tc>
        <w:tc>
          <w:tcPr>
            <w:tcW w:type="dxa" w:w="5350"/>
            <w:shd w:fill="0F6E56" w:val="clear"/>
            <w:tcMar>
              <w:top w:type="dxa" w:w="80"/>
              <w:left w:type="dxa" w:w="100"/>
              <w:bottom w:type="dxa" w:w="80"/>
              <w:right w:type="dxa" w:w="100"/>
            </w:tcMar>
          </w:tcPr>
          <w:p>
            <w:pPr>
              <w:jc w:val="left"/>
            </w:pPr>
            <w:r>
              <w:rPr>
                <w:b/>
                <w:bCs/>
                <w:color w:val="FFFFFF"/>
              </w:rPr>
              <w:t xml:space="preserve">Reverts to</w:t>
            </w:r>
          </w:p>
        </w:tc>
      </w:tr>
      <w:tr>
        <w:tc>
          <w:tcPr>
            <w:tcW w:type="dxa" w:w="2200"/>
            <w:tcMar>
              <w:top w:type="dxa" w:w="80"/>
              <w:left w:type="dxa" w:w="100"/>
              <w:bottom w:type="dxa" w:w="80"/>
              <w:right w:type="dxa" w:w="100"/>
            </w:tcMar>
          </w:tcPr>
          <w:p>
            <w:pPr>
              <w:jc w:val="left"/>
            </w:pPr>
            <w:r>
              <w:rPr>
                <w:b w:val="false"/>
                <w:bCs w:val="false"/>
              </w:rPr>
              <w:t xml:space="preserve">Starter</w:t>
            </w:r>
          </w:p>
        </w:tc>
        <w:tc>
          <w:tcPr>
            <w:tcW w:type="dxa" w:w="2200"/>
            <w:tcMar>
              <w:top w:type="dxa" w:w="80"/>
              <w:left w:type="dxa" w:w="100"/>
              <w:bottom w:type="dxa" w:w="80"/>
              <w:right w:type="dxa" w:w="100"/>
            </w:tcMar>
          </w:tcPr>
          <w:p>
            <w:pPr>
              <w:jc w:val="left"/>
            </w:pPr>
            <w:r>
              <w:rPr>
                <w:b w:val="false"/>
                <w:bCs w:val="false"/>
              </w:rPr>
              <w:t xml:space="preserve">$199</w:t>
            </w:r>
          </w:p>
        </w:tc>
        <w:tc>
          <w:tcPr>
            <w:tcW w:type="dxa" w:w="5350"/>
            <w:tcMar>
              <w:top w:type="dxa" w:w="80"/>
              <w:left w:type="dxa" w:w="100"/>
              <w:bottom w:type="dxa" w:w="80"/>
              <w:right w:type="dxa" w:w="100"/>
            </w:tcMar>
          </w:tcPr>
          <w:p>
            <w:pPr>
              <w:jc w:val="left"/>
            </w:pPr>
            <w:r>
              <w:rPr>
                <w:b w:val="false"/>
                <w:bCs w:val="false"/>
              </w:rPr>
              <w:t xml:space="preserve">$299</w:t>
            </w:r>
          </w:p>
        </w:tc>
      </w:tr>
      <w:tr>
        <w:tc>
          <w:tcPr>
            <w:tcW w:type="dxa" w:w="2200"/>
            <w:shd w:fill="F7F6F2" w:val="clear"/>
            <w:tcMar>
              <w:top w:type="dxa" w:w="80"/>
              <w:left w:type="dxa" w:w="100"/>
              <w:bottom w:type="dxa" w:w="80"/>
              <w:right w:type="dxa" w:w="100"/>
            </w:tcMar>
          </w:tcPr>
          <w:p>
            <w:pPr>
              <w:jc w:val="left"/>
            </w:pPr>
            <w:r>
              <w:rPr>
                <w:b w:val="false"/>
                <w:bCs w:val="false"/>
              </w:rPr>
              <w:t xml:space="preserve">Growth</w:t>
            </w:r>
          </w:p>
        </w:tc>
        <w:tc>
          <w:tcPr>
            <w:tcW w:type="dxa" w:w="2200"/>
            <w:shd w:fill="F7F6F2" w:val="clear"/>
            <w:tcMar>
              <w:top w:type="dxa" w:w="80"/>
              <w:left w:type="dxa" w:w="100"/>
              <w:bottom w:type="dxa" w:w="80"/>
              <w:right w:type="dxa" w:w="100"/>
            </w:tcMar>
          </w:tcPr>
          <w:p>
            <w:pPr>
              <w:jc w:val="left"/>
            </w:pPr>
            <w:r>
              <w:rPr>
                <w:b w:val="false"/>
                <w:bCs w:val="false"/>
              </w:rPr>
              <w:t xml:space="preserve">$249</w:t>
            </w:r>
          </w:p>
        </w:tc>
        <w:tc>
          <w:tcPr>
            <w:tcW w:type="dxa" w:w="5350"/>
            <w:shd w:fill="F7F6F2" w:val="clear"/>
            <w:tcMar>
              <w:top w:type="dxa" w:w="80"/>
              <w:left w:type="dxa" w:w="100"/>
              <w:bottom w:type="dxa" w:w="80"/>
              <w:right w:type="dxa" w:w="100"/>
            </w:tcMar>
          </w:tcPr>
          <w:p>
            <w:pPr>
              <w:jc w:val="left"/>
            </w:pPr>
            <w:r>
              <w:rPr>
                <w:b w:val="false"/>
                <w:bCs w:val="false"/>
              </w:rPr>
              <w:t xml:space="preserve">$399</w:t>
            </w:r>
          </w:p>
        </w:tc>
      </w:tr>
      <w:tr>
        <w:tc>
          <w:tcPr>
            <w:tcW w:type="dxa" w:w="2200"/>
            <w:tcMar>
              <w:top w:type="dxa" w:w="80"/>
              <w:left w:type="dxa" w:w="100"/>
              <w:bottom w:type="dxa" w:w="80"/>
              <w:right w:type="dxa" w:w="100"/>
            </w:tcMar>
          </w:tcPr>
          <w:p>
            <w:pPr>
              <w:jc w:val="left"/>
            </w:pPr>
            <w:r>
              <w:rPr>
                <w:b w:val="false"/>
                <w:bCs w:val="false"/>
              </w:rPr>
              <w:t xml:space="preserve">Scale</w:t>
            </w:r>
          </w:p>
        </w:tc>
        <w:tc>
          <w:tcPr>
            <w:tcW w:type="dxa" w:w="2200"/>
            <w:tcMar>
              <w:top w:type="dxa" w:w="80"/>
              <w:left w:type="dxa" w:w="100"/>
              <w:bottom w:type="dxa" w:w="80"/>
              <w:right w:type="dxa" w:w="100"/>
            </w:tcMar>
          </w:tcPr>
          <w:p>
            <w:pPr>
              <w:jc w:val="left"/>
            </w:pPr>
            <w:r>
              <w:rPr>
                <w:b w:val="false"/>
                <w:bCs w:val="false"/>
              </w:rPr>
              <w:t xml:space="preserve">$349</w:t>
            </w:r>
          </w:p>
        </w:tc>
        <w:tc>
          <w:tcPr>
            <w:tcW w:type="dxa" w:w="5350"/>
            <w:tcMar>
              <w:top w:type="dxa" w:w="80"/>
              <w:left w:type="dxa" w:w="100"/>
              <w:bottom w:type="dxa" w:w="80"/>
              <w:right w:type="dxa" w:w="100"/>
            </w:tcMar>
          </w:tcPr>
          <w:p>
            <w:pPr>
              <w:jc w:val="left"/>
            </w:pPr>
            <w:r>
              <w:rPr>
                <w:b w:val="false"/>
                <w:bCs w:val="false"/>
              </w:rPr>
              <w:t xml:space="preserve">$599</w:t>
            </w:r>
          </w:p>
        </w:tc>
      </w:tr>
    </w:tbl>
    <w:p>
      <w:pPr>
        <w:spacing w:after="120"/>
      </w:pPr>
    </w:p>
    <w:p>
      <w:pPr>
        <w:spacing w:after="160"/>
      </w:pPr>
      <w:r>
        <w:t xml:space="preserve">Rationale for this pricing over the earlier $150–900 tier set: it reflects the full value delivered by the MVP (learned mappings, review UX, duplicate detection, reliable export) rather than underpricing to match generic self-serve parsers. Value-based rule of thumb used to sanity-check this: charge roughly 15–30% of the customer's current monthly labor + error cost, which for the target profile (one order-entry person at 15–25 hrs/month) lands in the $400–700/month range that this pricing sits within.</w:t>
      </w:r>
    </w:p>
    <w:p>
      <w:pPr>
        <w:spacing w:after="120"/>
      </w:pPr>
      <w:r>
        <w:rPr>
          <w:b/>
          <w:bCs/>
          <w:color w:val="993C1D"/>
        </w:rPr>
        <w:t xml:space="preserve">OPEN QUESTION: </w:t>
      </w:r>
      <w:r>
        <w:rPr>
          <w:color w:val="993C1D"/>
        </w:rPr>
        <w:t xml:space="preserve">Confirm this pricing still holds once real conversations start with Tier A prospects — the business summary flagged pricing as unvalidated and recommended treating the first 10–15 sales conversations as pricing research, not just sales calls. Update this section directly with what's actually confirmed.</w:t>
      </w:r>
    </w:p>
    <w:p>
      <w:pPr>
        <w:pStyle w:val="Heading1"/>
        <w:spacing w:after="160" w:before="360"/>
      </w:pPr>
      <w:r>
        <w:t xml:space="preserve">8. MVP Scope</w:t>
      </w:r>
    </w:p>
    <w:p>
      <w:pPr>
        <w:pStyle w:val="Heading2"/>
        <w:spacing w:after="120" w:before="280"/>
      </w:pPr>
      <w:r>
        <w:t xml:space="preserve">8.1 Must-have</w:t>
      </w:r>
    </w:p>
    <w:p>
      <w:pPr>
        <w:pStyle w:val="ListParagraph"/>
        <w:numPr>
          <w:ilvl w:val="0"/>
          <w:numId w:val="2"/>
        </w:numPr>
        <w:spacing w:after="80"/>
      </w:pPr>
      <w:r>
        <w:t xml:space="preserve">Email + upload intake</w:t>
      </w:r>
    </w:p>
    <w:p>
      <w:pPr>
        <w:pStyle w:val="ListParagraph"/>
        <w:numPr>
          <w:ilvl w:val="0"/>
          <w:numId w:val="2"/>
        </w:numPr>
        <w:spacing w:after="80"/>
      </w:pPr>
      <w:r>
        <w:t xml:space="preserve">High-accuracy header + line-item extraction</w:t>
      </w:r>
    </w:p>
    <w:p>
      <w:pPr>
        <w:pStyle w:val="ListParagraph"/>
        <w:numPr>
          <w:ilvl w:val="0"/>
          <w:numId w:val="2"/>
        </w:numPr>
        <w:spacing w:after="80"/>
      </w:pPr>
      <w:r>
        <w:t xml:space="preserve">Customer &amp; SKU matching + learned mappings</w:t>
      </w:r>
    </w:p>
    <w:p>
      <w:pPr>
        <w:pStyle w:val="ListParagraph"/>
        <w:numPr>
          <w:ilvl w:val="0"/>
          <w:numId w:val="2"/>
        </w:numPr>
        <w:spacing w:after="80"/>
      </w:pPr>
      <w:r>
        <w:t xml:space="preserve">Confidence scoring + rule-based validation</w:t>
      </w:r>
    </w:p>
    <w:p>
      <w:pPr>
        <w:pStyle w:val="ListParagraph"/>
        <w:numPr>
          <w:ilvl w:val="0"/>
          <w:numId w:val="2"/>
        </w:numPr>
        <w:spacing w:after="80"/>
      </w:pPr>
      <w:r>
        <w:t xml:space="preserve">Side-by-side human review UI</w:t>
      </w:r>
    </w:p>
    <w:p>
      <w:pPr>
        <w:pStyle w:val="ListParagraph"/>
        <w:numPr>
          <w:ilvl w:val="0"/>
          <w:numId w:val="2"/>
        </w:numPr>
        <w:spacing w:after="80"/>
      </w:pPr>
      <w:r>
        <w:t xml:space="preserve">Duplicate detection &amp; basic change-order warnings</w:t>
      </w:r>
    </w:p>
    <w:p>
      <w:pPr>
        <w:pStyle w:val="ListParagraph"/>
        <w:numPr>
          <w:ilvl w:val="0"/>
          <w:numId w:val="2"/>
        </w:numPr>
        <w:spacing w:after="80"/>
      </w:pPr>
      <w:r>
        <w:t xml:space="preserve">Notifications for new documents needing review</w:t>
      </w:r>
    </w:p>
    <w:p>
      <w:pPr>
        <w:pStyle w:val="ListParagraph"/>
        <w:numPr>
          <w:ilvl w:val="0"/>
          <w:numId w:val="2"/>
        </w:numPr>
        <w:spacing w:after="80"/>
      </w:pPr>
      <w:r>
        <w:t xml:space="preserve">Clean CSV / Excel / JSON export (+ IIF for QuickBooks Desktop)</w:t>
      </w:r>
    </w:p>
    <w:p>
      <w:pPr>
        <w:pStyle w:val="ListParagraph"/>
        <w:numPr>
          <w:ilvl w:val="0"/>
          <w:numId w:val="2"/>
        </w:numPr>
        <w:spacing w:after="80"/>
      </w:pPr>
      <w:r>
        <w:t xml:space="preserve">Guided onboarding (catalog + customers + first POs)</w:t>
      </w:r>
    </w:p>
    <w:p>
      <w:pPr>
        <w:pStyle w:val="ListParagraph"/>
        <w:numPr>
          <w:ilvl w:val="0"/>
          <w:numId w:val="2"/>
        </w:numPr>
        <w:spacing w:after="80"/>
      </w:pPr>
      <w:r>
        <w:t xml:space="preserve">Basic dashboard and audit trail</w:t>
      </w:r>
    </w:p>
    <w:p>
      <w:pPr>
        <w:pStyle w:val="Heading2"/>
        <w:spacing w:after="120" w:before="280"/>
      </w:pPr>
      <w:r>
        <w:t xml:space="preserve">8.2 Explicitly deferred (not MVP)</w:t>
      </w:r>
    </w:p>
    <w:p>
      <w:pPr>
        <w:pStyle w:val="ListParagraph"/>
        <w:numPr>
          <w:ilvl w:val="0"/>
          <w:numId w:val="2"/>
        </w:numPr>
        <w:spacing w:after="80"/>
      </w:pPr>
      <w:r>
        <w:t xml:space="preserve">Native deep ERP write-back / live sync (see Section 6)</w:t>
      </w:r>
    </w:p>
    <w:p>
      <w:pPr>
        <w:pStyle w:val="ListParagraph"/>
        <w:numPr>
          <w:ilvl w:val="0"/>
          <w:numId w:val="2"/>
        </w:numPr>
        <w:spacing w:after="80"/>
      </w:pPr>
      <w:r>
        <w:t xml:space="preserve">Full three-way matching</w:t>
      </w:r>
    </w:p>
    <w:p>
      <w:pPr>
        <w:pStyle w:val="ListParagraph"/>
        <w:numPr>
          <w:ilvl w:val="0"/>
          <w:numId w:val="2"/>
        </w:numPr>
        <w:spacing w:after="80"/>
      </w:pPr>
      <w:r>
        <w:t xml:space="preserve">Invoice module</w:t>
      </w:r>
    </w:p>
    <w:p>
      <w:pPr>
        <w:pStyle w:val="ListParagraph"/>
        <w:numPr>
          <w:ilvl w:val="0"/>
          <w:numId w:val="2"/>
        </w:numPr>
        <w:spacing w:after="80"/>
      </w:pPr>
      <w:r>
        <w:t xml:space="preserve">EDI / portal intake</w:t>
      </w:r>
    </w:p>
    <w:p>
      <w:pPr>
        <w:pStyle w:val="ListParagraph"/>
        <w:numPr>
          <w:ilvl w:val="0"/>
          <w:numId w:val="2"/>
        </w:numPr>
        <w:spacing w:after="80"/>
      </w:pPr>
      <w:r>
        <w:t xml:space="preserve">Advanced pricing or tax engines</w:t>
      </w:r>
    </w:p>
    <w:p>
      <w:pPr>
        <w:pStyle w:val="ListParagraph"/>
        <w:numPr>
          <w:ilvl w:val="0"/>
          <w:numId w:val="2"/>
        </w:numPr>
        <w:spacing w:after="80"/>
      </w:pPr>
      <w:r>
        <w:t xml:space="preserve">Advanced change-order diff UI</w:t>
      </w:r>
    </w:p>
    <w:p>
      <w:pPr>
        <w:pStyle w:val="ListParagraph"/>
        <w:numPr>
          <w:ilvl w:val="0"/>
          <w:numId w:val="2"/>
        </w:numPr>
        <w:spacing w:after="80"/>
      </w:pPr>
      <w:r>
        <w:t xml:space="preserve">Complex permission system beyond Owner/Admin/Reviewer</w:t>
      </w:r>
    </w:p>
    <w:p>
      <w:pPr>
        <w:pStyle w:val="ListParagraph"/>
        <w:numPr>
          <w:ilvl w:val="0"/>
          <w:numId w:val="2"/>
        </w:numPr>
        <w:spacing w:after="80"/>
      </w:pPr>
      <w:r>
        <w:t xml:space="preserve">Mobile app</w:t>
      </w:r>
    </w:p>
    <w:p>
      <w:pPr>
        <w:pStyle w:val="Heading1"/>
        <w:spacing w:after="160" w:before="360"/>
      </w:pPr>
      <w:r>
        <w:t xml:space="preserve">9. Proof of Concept — Status</w:t>
      </w:r>
    </w:p>
    <w:p>
      <w:pPr>
        <w:spacing w:after="160"/>
      </w:pPr>
      <w:r>
        <w:t xml:space="preserve">A validation-stage script (parse_pos.py) has been built and tested. It reads .txt, .docx, .xlsx, .rtf, native and scanned PDFs, and images, sends them to Claude with a defined field schema, and outputs per-document JSON, a combined CSV, and a review-needed list for anything below the confidence threshold.</w:t>
      </w:r>
    </w:p>
    <w:p>
      <w:pPr>
        <w:spacing w:after="120"/>
      </w:pPr>
      <w:r>
        <w:rPr>
          <w:b/>
          <w:bCs/>
        </w:rPr>
        <w:t xml:space="preserve">Test result: </w:t>
      </w:r>
      <w:r>
        <w:t xml:space="preserve">extraction against a sample PO (Bella's Coffee House, PO# BCH-2291) correctly pulled all header fields (PO number, dates, buyer info, ship-to, payment terms, order total) and all 4 line items with correct SKUs, quantities, unit prices, and line totals. Output was consistent across a second identically-formatted test file.</w:t>
      </w:r>
    </w:p>
    <w:p>
      <w:pPr>
        <w:spacing w:after="160"/>
      </w:pPr>
      <w:r>
        <w:t xml:space="preserve">This confirms the core extraction technology works on real-format documents. What's unproven is matching/mapping against a real customer catalog, review-UI usability, and — per Section 3.3 — actual prospect conversations.</w:t>
      </w:r>
    </w:p>
    <w:p>
      <w:pPr>
        <w:pStyle w:val="Heading1"/>
        <w:spacing w:after="160" w:before="360"/>
      </w:pPr>
      <w:r>
        <w:t xml:space="preserve">10. Open Questions Log</w:t>
      </w:r>
    </w:p>
    <w:p>
      <w:pPr>
        <w:spacing w:after="160"/>
      </w:pPr>
      <w:r>
        <w:t xml:space="preserve">Centralizing every unresolved item here so nothing has to be re-derived from old chat exports. Resolve in place and remove from this list once answered.</w:t>
      </w:r>
    </w:p>
    <w:p>
      <w:pPr>
        <w:pStyle w:val="ListParagraph"/>
        <w:numPr>
          <w:ilvl w:val="0"/>
          <w:numId w:val="2"/>
        </w:numPr>
        <w:spacing w:after="80"/>
      </w:pPr>
      <w:r>
        <w:t xml:space="preserve">Outreach status against the Tier A prospect list (Section 3.3)</w:t>
      </w:r>
    </w:p>
    <w:p>
      <w:pPr>
        <w:pStyle w:val="ListParagraph"/>
        <w:numPr>
          <w:ilvl w:val="0"/>
          <w:numId w:val="2"/>
        </w:numPr>
        <w:spacing w:after="80"/>
      </w:pPr>
      <w:r>
        <w:t xml:space="preserve">Pricing validation from real sales conversations (Section 7.1)</w:t>
      </w:r>
    </w:p>
    <w:p>
      <w:pPr>
        <w:pStyle w:val="ListParagraph"/>
        <w:numPr>
          <w:ilvl w:val="0"/>
          <w:numId w:val="2"/>
        </w:numPr>
        <w:spacing w:after="80"/>
      </w:pPr>
      <w:r>
        <w:t xml:space="preserve">Which 1–2 ERP systems to prioritize for native integration once that becomes worth building (Section 6)</w:t>
      </w:r>
    </w:p>
    <w:p>
      <w:pPr>
        <w:pStyle w:val="ListParagraph"/>
        <w:numPr>
          <w:ilvl w:val="0"/>
          <w:numId w:val="2"/>
        </w:numPr>
        <w:spacing w:after="80"/>
      </w:pPr>
      <w:r>
        <w:t xml:space="preserve">How aggressively to auto-accept high-confidence documents vs. always requiring human review</w:t>
      </w:r>
    </w:p>
    <w:p>
      <w:pPr>
        <w:pStyle w:val="ListParagraph"/>
        <w:numPr>
          <w:ilvl w:val="0"/>
          <w:numId w:val="2"/>
        </w:numPr>
        <w:spacing w:after="80"/>
      </w:pPr>
      <w:r>
        <w:t xml:space="preserve">Exact UX for change-order diffs</w:t>
      </w:r>
    </w:p>
    <w:p>
      <w:pPr>
        <w:pStyle w:val="ListParagraph"/>
        <w:numPr>
          <w:ilvl w:val="0"/>
          <w:numId w:val="2"/>
        </w:numPr>
        <w:spacing w:after="80"/>
      </w:pPr>
      <w:r>
        <w:t xml:space="preserve">International / non-English document support timeline</w:t>
      </w:r>
    </w:p>
    <w:p>
      <w:r>
        <w:br w:type="page"/>
      </w:r>
    </w:p>
    <w:p>
      <w:pPr>
        <w:pStyle w:val="Heading2"/>
        <w:spacing w:after="120" w:before="280"/>
      </w:pPr>
      <w:r>
        <w:t xml:space="preserve">Document History</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350"/>
      </w:tblGrid>
      <w:tr>
        <w:trPr>
          <w:tblHeader/>
        </w:trPr>
        <w:tc>
          <w:tcPr>
            <w:tcW w:type="dxa" w:w="1200"/>
            <w:shd w:fill="0F6E56" w:val="clear"/>
            <w:tcMar>
              <w:top w:type="dxa" w:w="80"/>
              <w:left w:type="dxa" w:w="100"/>
              <w:bottom w:type="dxa" w:w="80"/>
              <w:right w:type="dxa" w:w="100"/>
            </w:tcMar>
          </w:tcPr>
          <w:p>
            <w:pPr>
              <w:jc w:val="left"/>
            </w:pPr>
            <w:r>
              <w:rPr>
                <w:b/>
                <w:bCs/>
                <w:color w:val="FFFFFF"/>
              </w:rPr>
              <w:t xml:space="preserve">Version</w:t>
            </w:r>
          </w:p>
        </w:tc>
        <w:tc>
          <w:tcPr>
            <w:tcW w:type="dxa" w:w="2200"/>
            <w:shd w:fill="0F6E56" w:val="clear"/>
            <w:tcMar>
              <w:top w:type="dxa" w:w="80"/>
              <w:left w:type="dxa" w:w="100"/>
              <w:bottom w:type="dxa" w:w="80"/>
              <w:right w:type="dxa" w:w="100"/>
            </w:tcMar>
          </w:tcPr>
          <w:p>
            <w:pPr>
              <w:jc w:val="left"/>
            </w:pPr>
            <w:r>
              <w:rPr>
                <w:b/>
                <w:bCs/>
                <w:color w:val="FFFFFF"/>
              </w:rPr>
              <w:t xml:space="preserve">Date</w:t>
            </w:r>
          </w:p>
        </w:tc>
        <w:tc>
          <w:tcPr>
            <w:tcW w:type="dxa" w:w="6350"/>
            <w:shd w:fill="0F6E56" w:val="clear"/>
            <w:tcMar>
              <w:top w:type="dxa" w:w="80"/>
              <w:left w:type="dxa" w:w="100"/>
              <w:bottom w:type="dxa" w:w="80"/>
              <w:right w:type="dxa" w:w="100"/>
            </w:tcMar>
          </w:tcPr>
          <w:p>
            <w:pPr>
              <w:jc w:val="left"/>
            </w:pPr>
            <w:r>
              <w:rPr>
                <w:b/>
                <w:bCs/>
                <w:color w:val="FFFFFF"/>
              </w:rPr>
              <w:t xml:space="preserve">Change</w:t>
            </w:r>
          </w:p>
        </w:tc>
      </w:tr>
      <w:tr>
        <w:tc>
          <w:tcPr>
            <w:tcW w:type="dxa" w:w="1200"/>
            <w:tcMar>
              <w:top w:type="dxa" w:w="80"/>
              <w:left w:type="dxa" w:w="100"/>
              <w:bottom w:type="dxa" w:w="80"/>
              <w:right w:type="dxa" w:w="100"/>
            </w:tcMar>
          </w:tcPr>
          <w:p>
            <w:pPr>
              <w:jc w:val="left"/>
            </w:pPr>
            <w:r>
              <w:rPr>
                <w:b w:val="false"/>
                <w:bCs w:val="false"/>
              </w:rPr>
              <w:t xml:space="preserve">1</w:t>
            </w:r>
          </w:p>
        </w:tc>
        <w:tc>
          <w:tcPr>
            <w:tcW w:type="dxa" w:w="2200"/>
            <w:tcMar>
              <w:top w:type="dxa" w:w="80"/>
              <w:left w:type="dxa" w:w="100"/>
              <w:bottom w:type="dxa" w:w="80"/>
              <w:right w:type="dxa" w:w="100"/>
            </w:tcMar>
          </w:tcPr>
          <w:p>
            <w:pPr>
              <w:jc w:val="left"/>
            </w:pPr>
            <w:r>
              <w:rPr>
                <w:b w:val="false"/>
                <w:bCs w:val="false"/>
              </w:rPr>
              <w:t xml:space="preserve">September 2026</w:t>
            </w:r>
          </w:p>
        </w:tc>
        <w:tc>
          <w:tcPr>
            <w:tcW w:type="dxa" w:w="6350"/>
            <w:tcMar>
              <w:top w:type="dxa" w:w="80"/>
              <w:left w:type="dxa" w:w="100"/>
              <w:bottom w:type="dxa" w:w="80"/>
              <w:right w:type="dxa" w:w="100"/>
            </w:tcMar>
          </w:tcPr>
          <w:p>
            <w:pPr>
              <w:jc w:val="left"/>
            </w:pPr>
            <w:r>
              <w:rPr>
                <w:b w:val="false"/>
                <w:bCs w:val="false"/>
              </w:rPr>
              <w:t xml:space="preserve">Initial master spec — resolves target-customer and pricing conflicts across fromGrok.txt, fromGemini.txt, inputfromGrok.docx, business summary, and pitch deck. Establishes this document as the single source of truth going forward.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2026-09-15T21:38:07.185Z</dcterms:created>
  <dcterms:modified xsi:type="dcterms:W3CDTF">2026-09-15T21:38:07.195Z</dcterms:modified>
</cp:coreProperties>
</file>

<file path=docProps/custom.xml><?xml version="1.0" encoding="utf-8"?>
<Properties xmlns="http://schemas.openxmlformats.org/officeDocument/2006/custom-properties" xmlns:vt="http://schemas.openxmlformats.org/officeDocument/2006/docPropsVTypes"/>
</file>