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DocFlow — System Architecture</w:t>
      </w:r>
    </w:p>
    <w:p>
      <w:pPr>
        <w:pBdr>
          <w:bottom w:val="single" w:color="0F6E56" w:sz="6" w:space="8"/>
        </w:pBdr>
        <w:spacing w:after="120"/>
      </w:pPr>
      <w:r>
        <w:rPr>
          <w:i/>
          <w:iCs/>
          <w:color w:val="666666"/>
        </w:rPr>
        <w:t xml:space="preserve">Internal reference · Version 1 · September 2026</w:t>
      </w:r>
    </w:p>
    <w:p>
      <w:pPr>
        <w:spacing w:after="120"/>
      </w:pPr>
    </w:p>
    <w:p>
      <w:pPr>
        <w:pStyle w:val="Heading1"/>
        <w:spacing w:after="140" w:before="280"/>
      </w:pPr>
      <w:r>
        <w:t xml:space="preserve">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16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300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Web application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Customer- and founder-facing UI: dashboard, review screens, onboarding wizard, settings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Next.js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API / backend service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Business logic, auth enforcement, tenant isolation, request handling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FastAPI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Extraction service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Model routing and structured extraction from documents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FastAPI + LLM API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Background job workers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Async processing: extraction, post-processing, export generation, notifications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Celery/Redis or Inngest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Email intake worker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Polls or receives inbound mail per tenant, stores attachments, queues for extraction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Inbound email provider webhook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Primary database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Multi-tenant relational data store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PostgreSQL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File storage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Original documents and generated exports, tenant-prefixed paths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Object storage (Supabase Storage / R2)</w:t>
            </w:r>
          </w:p>
        </w:tc>
      </w:tr>
    </w:tbl>
    <w:p>
      <w:pPr>
        <w:pStyle w:val="Heading1"/>
        <w:spacing w:after="140" w:before="280"/>
      </w:pPr>
      <w:r>
        <w:t xml:space="preserve">Data flow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document arrives by email forward or direct upload and is stored in tenant-prefixed storage. A background job is queued. The extraction service reads the document, routes it to an appropriate model based on document difficulty, and returns structured header and line-item data with confidence scores. Post-processing runs customer and SKU matching (including any learned mappings), rule-based validation, and duplicate/change-order detection, then writes results to the database. The document surfaces in the review UI at needs_review status. A human corrects and approves it, which may create or update a learned mapping. Export generation then produces the customer's chosen file format, ready for download.</w:t>
      </w:r>
    </w:p>
    <w:p>
      <w:pPr>
        <w:pStyle w:val="Heading1"/>
        <w:spacing w:after="140" w:before="280"/>
      </w:pPr>
      <w:r>
        <w:t xml:space="preserve">Multi-tenancy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tenant-scoped table carries a tenant_id foreign key with cascade delete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Row-level security policies enforce isolation at the database layer, hardened before 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storage paths are tenant-prefixed so one tenant's documents are never reachable from another's context</w:t>
      </w:r>
    </w:p>
    <w:p>
      <w:pPr>
        <w:pStyle w:val="Heading1"/>
        <w:spacing w:after="140" w:before="280"/>
      </w:pPr>
      <w:r>
        <w:t xml:space="preserve">External boundary — no live ERP connection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a deliberate, explicit architectural boundary, not an oversight. DocFlow does not connect to, read from, or write to any customer's live ERP, accounting system, or database in the MVP. Data enters as a file the customer exports and uploads, and leaves as a file the customer downloads and imports themselves. There is no persistent link in either direction — see the Onboarding Process document for the full explanation of what this means in practice.</w:t>
      </w:r>
    </w:p>
    <w:p>
      <w:pPr>
        <w:pStyle w:val="Heading1"/>
        <w:spacing w:after="140" w:before="280"/>
      </w:pPr>
      <w:r>
        <w:t xml:space="preserve">Security &amp;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via a managed provider (Clerk or Supabase Auth)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Roles: Owner, Admin, Reviewer, Viewer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permissions matrix governs: manage catalog, manage customers, approve documents, create mappings, export, manage billing, invite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Permissions are enforced at the API level, not just hidden in the UI</w:t>
      </w:r>
    </w:p>
    <w:p>
      <w:pPr>
        <w:pStyle w:val="Heading1"/>
        <w:spacing w:after="140" w:before="280"/>
      </w:pPr>
      <w:r>
        <w:t xml:space="preserve">Observability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Cost, latency, confidence, and correction-rate are instrumented from day one, not added later — these numbers directly drive unit-economics decisions (see the Tech Stack &amp; Costs document). Application errors are tracked separately from LLM-specific behavior: general error tracking via Sentry, LLM cost/latency/confidence via Langfuse or Helicone.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2026-09-16T02:17:16.763Z</dcterms:created>
  <dcterms:modified xsi:type="dcterms:W3CDTF">2026-09-16T02:17:16.763Z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