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DocFlow — Deployment &amp; Hosting Plan</w:t>
      </w:r>
    </w:p>
    <w:p>
      <w:pPr>
        <w:pBdr>
          <w:bottom w:val="single" w:color="0F6E56" w:sz="6" w:space="8"/>
        </w:pBdr>
        <w:spacing w:after="120"/>
      </w:pPr>
      <w:r>
        <w:rPr>
          <w:i/>
          <w:iCs/>
          <w:color w:val="666666"/>
        </w:rPr>
        <w:t xml:space="preserve">Internal reference · Version 1 · September 2026</w:t>
      </w:r>
    </w:p>
    <w:p>
      <w:pPr>
        <w:spacing w:after="120"/>
      </w:pPr>
    </w:p>
    <w:p>
      <w:pPr>
        <w:pStyle w:val="Heading1"/>
        <w:spacing w:after="140" w:before="280"/>
      </w:pPr>
      <w:r>
        <w:t xml:space="preserve">Environments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 single production environment is sufficient at MVP scale. Vercel's automatic preview deployments cover lightweight staging for the frontend on every pull request. Local development uses per-developer .env files — no shared dev environment is needed for a solo founder.</w:t>
      </w:r>
    </w:p>
    <w:p>
      <w:pPr>
        <w:pStyle w:val="Heading1"/>
        <w:spacing w:after="140" w:before="280"/>
      </w:pPr>
      <w:r>
        <w:t xml:space="preserve">Hosting by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40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Host</w:t>
            </w:r>
          </w:p>
        </w:tc>
        <w:tc>
          <w:tcPr>
            <w:tcW w:type="dxa" w:w="456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Vercel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Git-push deploy, automatic preview URLs per branch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Backend API + background workers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Railway or Render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Deploys from the same repo, scales with usage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Supabase or Neon (managed Postgres)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Includes automatic daily backups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File storage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Supabase Storage or Cloudflare R2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Tenant-prefixed paths for isolation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Email intake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Resend or Postmark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Inbound parsing webhook per tenant address</w:t>
            </w:r>
          </w:p>
        </w:tc>
      </w:tr>
    </w:tbl>
    <w:p>
      <w:pPr>
        <w:pStyle w:val="Heading1"/>
        <w:spacing w:after="140" w:before="280"/>
      </w:pPr>
      <w:r>
        <w:t xml:space="preserve">CI / CD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Git-push to main triggers deploy on Vercel and Railway/Render directly — no heavier pipeline (e.g. GitHub Actions) is needed until the team grows beyond a solo founder. Once an automated test suite exists, add a simple test-on-push step before it's relied on for anything beyond that.</w:t>
      </w:r>
    </w:p>
    <w:p>
      <w:pPr>
        <w:pStyle w:val="Heading1"/>
        <w:spacing w:after="140" w:before="280"/>
      </w:pPr>
      <w:r>
        <w:t xml:space="preserve">Secrets management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Environment variables are managed through each host's dashboard (Vercel, Railway) and never committed to the repository. This matches the pattern already used in the proof-of-concept script, which reads ANTHROPIC_API_KEY from the environment rather than hardcoding it.</w:t>
      </w:r>
    </w:p>
    <w:p>
      <w:pPr>
        <w:pStyle w:val="Heading1"/>
        <w:spacing w:after="140" w:before="280"/>
      </w:pPr>
      <w:r>
        <w:t xml:space="preserve">Backups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rely on the managed Postgres provider's automatic daily backups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storage: inherits redundancy from the storage provider</w:t>
      </w:r>
    </w:p>
    <w:p>
      <w:pPr>
        <w:pStyle w:val="Heading1"/>
        <w:spacing w:after="140" w:before="280"/>
      </w:pPr>
      <w:r>
        <w:t xml:space="preserve">Monitoring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Sentry for application errors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Langfuse or Helicone for LLM-specific cost, latency, and confidence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Instrumented from day one — these numbers directly inform pricing and unit-economics decisions</w:t>
      </w:r>
    </w:p>
    <w:p>
      <w:pPr>
        <w:pStyle w:val="Heading1"/>
        <w:spacing w:after="140" w:before="280"/>
      </w:pPr>
      <w:r>
        <w:t xml:space="preserve">Per-tenant safeguards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circuit breaker to prevent a single tenant from generating runaway AI spend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 with exponential backoff on LLM calls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Dead-letter queue for documents that fail permanently after retries</w:t>
      </w:r>
    </w:p>
    <w:p>
      <w:pPr>
        <w:pStyle w:val="Heading1"/>
        <w:spacing w:after="140" w:before="280"/>
      </w:pPr>
      <w:r>
        <w:t xml:space="preserve">Scaling posture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Fixed overhead stays low (roughly $75–$140/month, see the Tech Stack &amp; Costs document) well past initial break-even at 2–4 customers. The binding constraint on growth is founder time, not infrastructure — no premature investment in multi-region hosting, Kubernetes, or similar is warranted at this stage.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2026-09-16T02:17:16.839Z</dcterms:created>
  <dcterms:modified xsi:type="dcterms:W3CDTF">2026-09-16T02:17:16.839Z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