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Marketing &amp; Outreach Strategy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Target verticals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Small, independent specialty distributors receiving inbound purchase orders from their own buyers — not the buyers themselves, and not large EDI-mandated retail accounts. Verticals: chemicals, gases/welding supply, niche food, veterinary, janitorial/sanitation (JanSan), and plastics.</w:t>
      </w:r>
    </w:p>
    <w:p>
      <w:pPr>
        <w:pStyle w:val="Heading1"/>
        <w:spacing w:after="140" w:before="280"/>
      </w:pPr>
      <w:r>
        <w:t xml:space="preserve">Prospect list status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50 companies researched and scored on Independence (30%), Size Fit (25%), Legacy Signal (25%), and Reachability (20%): 24 Tier A (high priority), 15 Tier B, 11 Tier C. This is a prioritized research queue, not a verified contact list — before outreach begins, confirm each company's current ownership status (roll-up activity can change this) and find an actual contact.</w:t>
      </w:r>
    </w:p>
    <w:p>
      <w:pPr>
        <w:pStyle w:val="Heading1"/>
        <w:spacing w:after="140" w:before="280"/>
      </w:pPr>
      <w:r>
        <w:t xml:space="preserve">Outreach approach</w:t>
      </w:r>
    </w:p>
    <w:p>
      <w:pPr>
        <w:pStyle w:val="Heading2"/>
        <w:spacing w:after="100" w:before="200"/>
      </w:pPr>
      <w:r>
        <w:t xml:space="preserve">The offer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Lead with the free-sample offer, not a software pitch: “Forward the 5 messiest POs you received this week. We'll send back clean, structured data within 48 hours — no cost, no commitment.” The prospect doesn't want a demo of the technology; they want proof the immediate pain goes away.</w:t>
      </w:r>
    </w:p>
    <w:p>
      <w:pPr>
        <w:pStyle w:val="Heading2"/>
        <w:spacing w:after="100" w:before="200"/>
      </w:pPr>
      <w:r>
        <w:t xml:space="preserve">Channel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Direct cold email and outreach to the Tier A list first. A short, optional 15-minute live screen-share demo is offered to prospects who want to see it work live rather than by sample.</w:t>
      </w:r>
    </w:p>
    <w:p>
      <w:pPr>
        <w:pStyle w:val="Heading2"/>
        <w:spacing w:after="100" w:before="200"/>
      </w:pPr>
      <w:r>
        <w:t xml:space="preserve">Prequalification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Tier A/B/C scoring already prequalifies outbound prospects — no separate gate is needed before reaching out to them. For inbound signups (landing page, referrals), use a short form: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you regularly receive inbound POs in messy formats (email, PDF, fax)?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Roughly how many per month?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you have an existing SKU / item catalog?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 you currently use to manage orders — nothing formal, a spreadsheet, QuickBooks, or something else?</w:t>
      </w:r>
    </w:p>
    <w:p>
      <w:pPr>
        <w:pStyle w:val="Heading1"/>
        <w:spacing w:after="140" w:before="280"/>
      </w:pPr>
      <w:r>
        <w:t xml:space="preserve">Landing page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one-page site with a clear value proposition and a single call to action (“Request Early Access” or “Join Private Beta”), doubling as the destination for cold outreach and the collection point for the prequalification questions above.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Caveat: this is not an independent demand-discovery channel at this scale — there is no organic traffic source for a niche B2B audience of a few dozen researched companies, so nearly all visitors will arrive because outreach sent them there. Treat its signal as a conversion-rate check on the pitch, not as a standalone test of market viability. The primary viability signal remains direct conversation outcomes: response rate, free-sample-to-interest conversion, and stated willingness to pay.</w:t>
      </w:r>
    </w:p>
    <w:p>
      <w:pPr>
        <w:pStyle w:val="Heading1"/>
        <w:spacing w:after="140" w:before="280"/>
      </w:pPr>
      <w:r>
        <w:t xml:space="preserve">Referral channel (after first customers)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paying customers for introductions within their own trade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local bookkeeping and operations consultants serving small distributors as a referral channel, once there are reference customers to point to</w:t>
      </w:r>
    </w:p>
    <w:p>
      <w:pPr>
        <w:pStyle w:val="Heading1"/>
        <w:spacing w:after="140" w:before="280"/>
      </w:pPr>
      <w:r>
        <w:t xml:space="preserve">Success metrics for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 outreach response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Free-sample delivery to verbal-interest conversion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Stated willingness to pay, gathered directly in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conversion rate (visit to signup), as a secondary pitch-quality signal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2026-09-16T02:12:01.715Z</dcterms:created>
  <dcterms:modified xsi:type="dcterms:W3CDTF">2026-09-16T02:12:01.715Z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