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DocFlow — Customer Offboarding Process</w:t>
      </w:r>
    </w:p>
    <w:p>
      <w:pPr>
        <w:spacing w:after="320"/>
      </w:pPr>
      <w:r>
        <w:rPr>
          <w:i/>
          <w:iCs/>
        </w:rPr>
        <w:t xml:space="preserve">Internal reference · Version 2 · September 2026</w:t>
      </w:r>
    </w:p>
    <w:p>
      <w:pPr>
        <w:pStyle w:val="Heading1"/>
        <w:spacing w:after="160" w:before="320"/>
      </w:pPr>
      <w:r>
        <w:t xml:space="preserve">Purpose</w:t>
      </w:r>
    </w:p>
    <w:p>
      <w:pPr>
        <w:spacing w:after="200"/>
      </w:pPr>
      <w:r>
        <w:t xml:space="preserve">This is the other end of the customer lifecycle from the Onboarding Process document — what happens from the moment a customer cancels through final deletion. It exists so offboarding is a defined, repeatable process rather than something improvised the first time it actually happens.</w:t>
      </w:r>
    </w:p>
    <w:p>
      <w:pPr>
        <w:spacing w:after="200"/>
      </w:pPr>
      <w:r>
        <w:t xml:space="preserve">Version 2 change: added the “Cancel-tenant action (admin dashboard)” section below, specifying how the founder triggers cancellation from the internal admin dashboard now that one exists. This is new spec, not previously documented — the lifecycle states, triggers, and timing rules below it are unchanged from Version 1.</w:t>
      </w:r>
    </w:p>
    <w:p>
      <w:pPr>
        <w:pStyle w:val="Heading1"/>
        <w:spacing w:after="160" w:before="320"/>
      </w:pPr>
      <w:r>
        <w:t xml:space="preserve">Guiding principle</w:t>
      </w:r>
    </w:p>
    <w:p>
      <w:pPr>
        <w:spacing w:after="200"/>
      </w:pPr>
      <w:r>
        <w:t xml:space="preserve">Disable is not delete. Nothing destructive happens without explicit founder confirmation, and a leaving customer keeps full access to their own data throughout the wind-down — that trust is worth more than making cancellation difficult, and it's consistent with everything else in this documentation set about data being the business.</w:t>
      </w:r>
    </w:p>
    <w:p>
      <w:pPr>
        <w:pStyle w:val="Heading1"/>
        <w:spacing w:after="160" w:before="320"/>
      </w:pPr>
      <w:r>
        <w:t xml:space="preserve">What triggers offboarding</w:t>
      </w:r>
    </w:p>
    <w:p>
      <w:pPr>
        <w:pStyle w:val="ListParagraph"/>
        <w:numPr>
          <w:ilvl w:val="0"/>
          <w:numId w:val="2"/>
        </w:numPr>
        <w:spacing w:after="120"/>
      </w:pPr>
      <w:r>
        <w:t xml:space="preserve">Customer requests cancellation directly (email or call to the founder — there is no self-serve cancel button in the MVP)</w:t>
      </w:r>
    </w:p>
    <w:p>
      <w:pPr>
        <w:pStyle w:val="ListParagraph"/>
        <w:numPr>
          <w:ilvl w:val="0"/>
          <w:numId w:val="2"/>
        </w:numPr>
        <w:spacing w:after="120"/>
      </w:pPr>
      <w:r>
        <w:t xml:space="preserve">Non-payment that remains uncured after the Terms of Service cure period</w:t>
      </w:r>
    </w:p>
    <w:p>
      <w:pPr>
        <w:pStyle w:val="ListParagraph"/>
        <w:numPr>
          <w:ilvl w:val="0"/>
          <w:numId w:val="2"/>
        </w:numPr>
        <w:spacing w:after="120"/>
      </w:pPr>
      <w:r>
        <w:t xml:space="preserve">Founder-initiated termination for cause (breach) — rare, but follows the same mechanics from the suspended state onward, with an immediate effective date rather than a notice period</w:t>
      </w:r>
    </w:p>
    <w:p>
      <w:pPr>
        <w:pStyle w:val="Heading1"/>
        <w:spacing w:after="160" w:before="320"/>
      </w:pPr>
      <w:r>
        <w:t xml:space="preserve">Cancel-tenant action (admin dashboard)</w:t>
      </w:r>
    </w:p>
    <w:p>
      <w:pPr>
        <w:spacing w:after="200"/>
      </w:pPr>
      <w:r>
        <w:t xml:space="preserve">However offboarding is triggered, the founder starts it from the tenant's page on the admin dashboard — not a database edit or a manual email. The action is a short form, not a single button, because the effective date depends on the reason:</w:t>
      </w:r>
    </w:p>
    <w:p>
      <w:pPr>
        <w:pStyle w:val="ListParagraph"/>
        <w:numPr>
          <w:ilvl w:val="0"/>
          <w:numId w:val="2"/>
        </w:numPr>
        <w:spacing w:after="120"/>
      </w:pPr>
      <w:r>
        <w:t xml:space="preserve">Founder selects the reason: customer-requested, non-payment, or for-cause breach</w:t>
      </w:r>
    </w:p>
    <w:p>
      <w:pPr>
        <w:pStyle w:val="ListParagraph"/>
        <w:numPr>
          <w:ilvl w:val="0"/>
          <w:numId w:val="2"/>
        </w:numPr>
        <w:spacing w:after="120"/>
      </w:pPr>
      <w:r>
        <w:t xml:space="preserve">Customer-requested → effective date defaults to the end of the current paid period</w:t>
      </w:r>
    </w:p>
    <w:p>
      <w:pPr>
        <w:pStyle w:val="ListParagraph"/>
        <w:numPr>
          <w:ilvl w:val="0"/>
          <w:numId w:val="2"/>
        </w:numPr>
        <w:spacing w:after="120"/>
      </w:pPr>
      <w:r>
        <w:t xml:space="preserve">Non-payment → effective date defaults to the end of the Terms of Service cure period (currently a placeholder — see the open item below — and must be a configurable constant, not hardcoded, so the founder can tune it once the real number is set)</w:t>
      </w:r>
    </w:p>
    <w:p>
      <w:pPr>
        <w:pStyle w:val="ListParagraph"/>
        <w:numPr>
          <w:ilvl w:val="0"/>
          <w:numId w:val="2"/>
        </w:numPr>
        <w:spacing w:after="120"/>
      </w:pPr>
      <w:r>
        <w:t xml:space="preserve">For-cause breach → effective date is immediate, no notice period</w:t>
      </w:r>
    </w:p>
    <w:p>
      <w:pPr>
        <w:pStyle w:val="ListParagraph"/>
        <w:numPr>
          <w:ilvl w:val="0"/>
          <w:numId w:val="2"/>
        </w:numPr>
        <w:spacing w:after="120"/>
      </w:pPr>
      <w:r>
        <w:t xml:space="preserve">Dashboard displays the calculated effective date before the founder confirms — nothing is submitted silently</w:t>
      </w:r>
    </w:p>
    <w:p>
      <w:pPr>
        <w:pStyle w:val="ListParagraph"/>
        <w:numPr>
          <w:ilvl w:val="0"/>
          <w:numId w:val="2"/>
        </w:numPr>
        <w:spacing w:after="120"/>
      </w:pPr>
      <w:r>
        <w:t xml:space="preserve">Confirming moves the tenant to cancelling and triggers the sequence below</w:t>
      </w:r>
    </w:p>
    <w:p>
      <w:pPr>
        <w:pStyle w:val="ListParagraph"/>
        <w:numPr>
          <w:ilvl w:val="0"/>
          <w:numId w:val="2"/>
        </w:numPr>
        <w:spacing w:after="120"/>
      </w:pPr>
      <w:r>
        <w:t xml:space="preserve">Reactivation is a mirrored action on the same tenant page, available any time before deletion — see “Reactivation” below</w:t>
      </w:r>
    </w:p>
    <w:p>
      <w:pPr>
        <w:spacing w:after="200" w:before="120"/>
      </w:pPr>
      <w:r>
        <w:rPr>
          <w:i/>
          <w:iCs/>
        </w:rPr>
        <w:t xml:space="preserve">Open item: the Terms of Service draft's Term &amp; Termination section states 30 days' written notice for termination for convenience, while the customer-requested path above uses “end of current paid period.” For monthly billing these are close but not identical, and it hasn't been confirmed whether they're meant to be the same rule stated two ways or two different rules. Resolve this with whoever finalizes the ToS numbers before the cancel-tenant action ships.</w:t>
      </w:r>
    </w:p>
    <w:p>
      <w:pPr>
        <w:pStyle w:val="Heading1"/>
        <w:spacing w:after="160" w:before="320"/>
      </w:pPr>
      <w:r>
        <w:t xml:space="preserve">Tenant lifecycle states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400"/>
      </w:tblGrid>
      <w:tr>
        <w:trPr>
          <w:tblHeader/>
        </w:trPr>
        <w:tc>
          <w:tcPr>
            <w:tcW w:type="dxa" w:w="1800"/>
            <w:shd w:fill="D9D9D9" w:color="auto" w:val="clear"/>
            <w:tcMar>
              <w:top w:type="dxa" w:w="100"/>
              <w:left w:type="dxa" w:w="120"/>
              <w:bottom w:type="dxa" w:w="100"/>
              <w:right w:type="dxa" w:w="120"/>
            </w:tcMar>
          </w:tcPr>
          <w:p>
            <w:r>
              <w:rPr>
                <w:b/>
                <w:bCs/>
              </w:rPr>
              <w:t xml:space="preserve">State</w:t>
            </w:r>
          </w:p>
        </w:tc>
        <w:tc>
          <w:tcPr>
            <w:tcW w:type="dxa" w:w="4600"/>
            <w:shd w:fill="D9D9D9" w:color="auto" w:val="clear"/>
            <w:tcMar>
              <w:top w:type="dxa" w:w="100"/>
              <w:left w:type="dxa" w:w="120"/>
              <w:bottom w:type="dxa" w:w="100"/>
              <w:right w:type="dxa" w:w="120"/>
            </w:tcMar>
          </w:tcPr>
          <w:p>
            <w:r>
              <w:rPr>
                <w:b/>
                <w:bCs/>
              </w:rPr>
              <w:t xml:space="preserve">What's happening</w:t>
            </w:r>
          </w:p>
        </w:tc>
        <w:tc>
          <w:tcPr>
            <w:tcW w:type="dxa" w:w="3400"/>
            <w:shd w:fill="D9D9D9" w:color="auto" w:val="clear"/>
            <w:tcMar>
              <w:top w:type="dxa" w:w="100"/>
              <w:left w:type="dxa" w:w="120"/>
              <w:bottom w:type="dxa" w:w="100"/>
              <w:right w:type="dxa" w:w="120"/>
            </w:tcMar>
          </w:tcPr>
          <w:p>
            <w:r>
              <w:rPr>
                <w:b/>
                <w:bCs/>
              </w:rPr>
              <w:t xml:space="preserve">Customer access</w:t>
            </w:r>
          </w:p>
        </w:tc>
      </w:tr>
      <w:tr>
        <w:tc>
          <w:tcPr>
            <w:tcW w:type="dxa" w:w="1800"/>
            <w:tcMar>
              <w:top w:type="dxa" w:w="100"/>
              <w:left w:type="dxa" w:w="120"/>
              <w:bottom w:type="dxa" w:w="100"/>
              <w:right w:type="dxa" w:w="120"/>
            </w:tcMar>
          </w:tcPr>
          <w:p>
            <w:r>
              <w:rPr>
                <w:b w:val="false"/>
                <w:bCs w:val="false"/>
              </w:rPr>
              <w:t xml:space="preserve">active</w:t>
            </w:r>
          </w:p>
        </w:tc>
        <w:tc>
          <w:tcPr>
            <w:tcW w:type="dxa" w:w="4600"/>
            <w:tcMar>
              <w:top w:type="dxa" w:w="100"/>
              <w:left w:type="dxa" w:w="120"/>
              <w:bottom w:type="dxa" w:w="100"/>
              <w:right w:type="dxa" w:w="120"/>
            </w:tcMar>
          </w:tcPr>
          <w:p>
            <w:r>
              <w:rPr>
                <w:b w:val="false"/>
                <w:bCs w:val="false"/>
              </w:rPr>
              <w:t xml:space="preserve">Normal operation</w:t>
            </w:r>
          </w:p>
        </w:tc>
        <w:tc>
          <w:tcPr>
            <w:tcW w:type="dxa" w:w="3400"/>
            <w:tcMar>
              <w:top w:type="dxa" w:w="100"/>
              <w:left w:type="dxa" w:w="120"/>
              <w:bottom w:type="dxa" w:w="100"/>
              <w:right w:type="dxa" w:w="120"/>
            </w:tcMar>
          </w:tcPr>
          <w:p>
            <w:r>
              <w:rPr>
                <w:b w:val="false"/>
                <w:bCs w:val="false"/>
              </w:rPr>
              <w:t xml:space="preserve">Full</w:t>
            </w:r>
          </w:p>
        </w:tc>
      </w:tr>
      <w:tr>
        <w:tc>
          <w:tcPr>
            <w:tcW w:type="dxa" w:w="1800"/>
            <w:tcMar>
              <w:top w:type="dxa" w:w="100"/>
              <w:left w:type="dxa" w:w="120"/>
              <w:bottom w:type="dxa" w:w="100"/>
              <w:right w:type="dxa" w:w="120"/>
            </w:tcMar>
          </w:tcPr>
          <w:p>
            <w:r>
              <w:rPr>
                <w:b w:val="false"/>
                <w:bCs w:val="false"/>
              </w:rPr>
              <w:t xml:space="preserve">cancelling</w:t>
            </w:r>
          </w:p>
        </w:tc>
        <w:tc>
          <w:tcPr>
            <w:tcW w:type="dxa" w:w="4600"/>
            <w:tcMar>
              <w:top w:type="dxa" w:w="100"/>
              <w:left w:type="dxa" w:w="120"/>
              <w:bottom w:type="dxa" w:w="100"/>
              <w:right w:type="dxa" w:w="120"/>
            </w:tcMar>
          </w:tcPr>
          <w:p>
            <w:r>
              <w:rPr>
                <w:b w:val="false"/>
                <w:bCs w:val="false"/>
              </w:rPr>
              <w:t xml:space="preserve">Effective date set (end of paid period, or end of cure period for non-payment, or immediate for termination for cause); everything still works until then</w:t>
            </w:r>
          </w:p>
        </w:tc>
        <w:tc>
          <w:tcPr>
            <w:tcW w:type="dxa" w:w="3400"/>
            <w:tcMar>
              <w:top w:type="dxa" w:w="100"/>
              <w:left w:type="dxa" w:w="120"/>
              <w:bottom w:type="dxa" w:w="100"/>
              <w:right w:type="dxa" w:w="120"/>
            </w:tcMar>
          </w:tcPr>
          <w:p>
            <w:r>
              <w:rPr>
                <w:b w:val="false"/>
                <w:bCs w:val="false"/>
              </w:rPr>
              <w:t xml:space="preserve">Full</w:t>
            </w:r>
          </w:p>
        </w:tc>
      </w:tr>
      <w:tr>
        <w:tc>
          <w:tcPr>
            <w:tcW w:type="dxa" w:w="1800"/>
            <w:tcMar>
              <w:top w:type="dxa" w:w="100"/>
              <w:left w:type="dxa" w:w="120"/>
              <w:bottom w:type="dxa" w:w="100"/>
              <w:right w:type="dxa" w:w="120"/>
            </w:tcMar>
          </w:tcPr>
          <w:p>
            <w:r>
              <w:rPr>
                <w:b w:val="false"/>
                <w:bCs w:val="false"/>
              </w:rPr>
              <w:t xml:space="preserve">suspended</w:t>
            </w:r>
          </w:p>
        </w:tc>
        <w:tc>
          <w:tcPr>
            <w:tcW w:type="dxa" w:w="4600"/>
            <w:tcMar>
              <w:top w:type="dxa" w:w="100"/>
              <w:left w:type="dxa" w:w="120"/>
              <w:bottom w:type="dxa" w:w="100"/>
              <w:right w:type="dxa" w:w="120"/>
            </w:tcMar>
          </w:tcPr>
          <w:p>
            <w:r>
              <w:rPr>
                <w:b w:val="false"/>
                <w:bCs w:val="false"/>
              </w:rPr>
              <w:t xml:space="preserve">Effective date reached; new document intake blocked; billing stopped</w:t>
            </w:r>
          </w:p>
        </w:tc>
        <w:tc>
          <w:tcPr>
            <w:tcW w:type="dxa" w:w="3400"/>
            <w:tcMar>
              <w:top w:type="dxa" w:w="100"/>
              <w:left w:type="dxa" w:w="120"/>
              <w:bottom w:type="dxa" w:w="100"/>
              <w:right w:type="dxa" w:w="120"/>
            </w:tcMar>
          </w:tcPr>
          <w:p>
            <w:r>
              <w:rPr>
                <w:b w:val="false"/>
                <w:bCs w:val="false"/>
              </w:rPr>
              <w:t xml:space="preserve">Full read + export, no new documents</w:t>
            </w:r>
          </w:p>
        </w:tc>
      </w:tr>
      <w:tr>
        <w:tc>
          <w:tcPr>
            <w:tcW w:type="dxa" w:w="1800"/>
            <w:tcMar>
              <w:top w:type="dxa" w:w="100"/>
              <w:left w:type="dxa" w:w="120"/>
              <w:bottom w:type="dxa" w:w="100"/>
              <w:right w:type="dxa" w:w="120"/>
            </w:tcMar>
          </w:tcPr>
          <w:p>
            <w:r>
              <w:rPr>
                <w:b w:val="false"/>
                <w:bCs w:val="false"/>
              </w:rPr>
              <w:t xml:space="preserve">pending_deletion</w:t>
            </w:r>
          </w:p>
        </w:tc>
        <w:tc>
          <w:tcPr>
            <w:tcW w:type="dxa" w:w="4600"/>
            <w:tcMar>
              <w:top w:type="dxa" w:w="100"/>
              <w:left w:type="dxa" w:w="120"/>
              <w:bottom w:type="dxa" w:w="100"/>
              <w:right w:type="dxa" w:w="120"/>
            </w:tcMar>
          </w:tcPr>
          <w:p>
            <w:r>
              <w:rPr>
                <w:b w:val="false"/>
                <w:bCs w:val="false"/>
              </w:rPr>
              <w:t xml:space="preserve">Export window counting down (default 30 days); reminder emails sent</w:t>
            </w:r>
          </w:p>
        </w:tc>
        <w:tc>
          <w:tcPr>
            <w:tcW w:type="dxa" w:w="3400"/>
            <w:tcMar>
              <w:top w:type="dxa" w:w="100"/>
              <w:left w:type="dxa" w:w="120"/>
              <w:bottom w:type="dxa" w:w="100"/>
              <w:right w:type="dxa" w:w="120"/>
            </w:tcMar>
          </w:tcPr>
          <w:p>
            <w:r>
              <w:rPr>
                <w:b w:val="false"/>
                <w:bCs w:val="false"/>
              </w:rPr>
              <w:t xml:space="preserve">Full read + export, no new documents</w:t>
            </w:r>
          </w:p>
        </w:tc>
      </w:tr>
      <w:tr>
        <w:tc>
          <w:tcPr>
            <w:tcW w:type="dxa" w:w="1800"/>
            <w:tcMar>
              <w:top w:type="dxa" w:w="100"/>
              <w:left w:type="dxa" w:w="120"/>
              <w:bottom w:type="dxa" w:w="100"/>
              <w:right w:type="dxa" w:w="120"/>
            </w:tcMar>
          </w:tcPr>
          <w:p>
            <w:r>
              <w:rPr>
                <w:b w:val="false"/>
                <w:bCs w:val="false"/>
              </w:rPr>
              <w:t xml:space="preserve">deleted</w:t>
            </w:r>
          </w:p>
        </w:tc>
        <w:tc>
          <w:tcPr>
            <w:tcW w:type="dxa" w:w="4600"/>
            <w:tcMar>
              <w:top w:type="dxa" w:w="100"/>
              <w:left w:type="dxa" w:w="120"/>
              <w:bottom w:type="dxa" w:w="100"/>
              <w:right w:type="dxa" w:w="120"/>
            </w:tcMar>
          </w:tcPr>
          <w:p>
            <w:r>
              <w:rPr>
                <w:b w:val="false"/>
                <w:bCs w:val="false"/>
              </w:rPr>
              <w:t xml:space="preserve">Founder-confirmed, irreversible; data and storage removed</w:t>
            </w:r>
          </w:p>
        </w:tc>
        <w:tc>
          <w:tcPr>
            <w:tcW w:type="dxa" w:w="3400"/>
            <w:tcMar>
              <w:top w:type="dxa" w:w="100"/>
              <w:left w:type="dxa" w:w="120"/>
              <w:bottom w:type="dxa" w:w="100"/>
              <w:right w:type="dxa" w:w="120"/>
            </w:tcMar>
          </w:tcPr>
          <w:p>
            <w:r>
              <w:rPr>
                <w:b w:val="false"/>
                <w:bCs w:val="false"/>
              </w:rPr>
              <w:t xml:space="preserve">None</w:t>
            </w:r>
          </w:p>
        </w:tc>
      </w:tr>
    </w:tbl>
    <w:p>
      <w:pPr>
        <w:spacing w:before="240"/>
      </w:pPr>
    </w:p>
    <w:p>
      <w:pPr>
        <w:pStyle w:val="Heading1"/>
        <w:spacing w:after="160" w:before="320"/>
      </w:pPr>
      <w:r>
        <w:t xml:space="preserve">Offboarding sequence (founder playbook)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800"/>
      </w:tblGrid>
      <w:tr>
        <w:trPr>
          <w:tblHeader/>
        </w:trPr>
        <w:tc>
          <w:tcPr>
            <w:tcW w:type="dxa" w:w="2400"/>
            <w:shd w:fill="D9D9D9" w:color="auto" w:val="clear"/>
            <w:tcMar>
              <w:top w:type="dxa" w:w="100"/>
              <w:left w:type="dxa" w:w="120"/>
              <w:bottom w:type="dxa" w:w="100"/>
              <w:right w:type="dxa" w:w="120"/>
            </w:tcMar>
          </w:tcPr>
          <w:p>
            <w:r>
              <w:rPr>
                <w:b/>
                <w:bCs/>
              </w:rPr>
              <w:t xml:space="preserve">When</w:t>
            </w:r>
          </w:p>
        </w:tc>
        <w:tc>
          <w:tcPr>
            <w:tcW w:type="dxa" w:w="5600"/>
            <w:shd w:fill="D9D9D9" w:color="auto" w:val="clear"/>
            <w:tcMar>
              <w:top w:type="dxa" w:w="100"/>
              <w:left w:type="dxa" w:w="120"/>
              <w:bottom w:type="dxa" w:w="100"/>
              <w:right w:type="dxa" w:w="120"/>
            </w:tcMar>
          </w:tcPr>
          <w:p>
            <w:r>
              <w:rPr>
                <w:b/>
                <w:bCs/>
              </w:rPr>
              <w:t xml:space="preserve">What happens</w:t>
            </w:r>
          </w:p>
        </w:tc>
        <w:tc>
          <w:tcPr>
            <w:tcW w:type="dxa" w:w="1800"/>
            <w:shd w:fill="D9D9D9" w:color="auto" w:val="clear"/>
            <w:tcMar>
              <w:top w:type="dxa" w:w="100"/>
              <w:left w:type="dxa" w:w="120"/>
              <w:bottom w:type="dxa" w:w="100"/>
              <w:right w:type="dxa" w:w="120"/>
            </w:tcMar>
          </w:tcPr>
          <w:p>
            <w:r>
              <w:rPr>
                <w:b/>
                <w:bCs/>
              </w:rPr>
              <w:t xml:space="preserve">Who</w:t>
            </w:r>
          </w:p>
        </w:tc>
      </w:tr>
      <w:tr>
        <w:tc>
          <w:tcPr>
            <w:tcW w:type="dxa" w:w="2400"/>
            <w:tcMar>
              <w:top w:type="dxa" w:w="100"/>
              <w:left w:type="dxa" w:w="120"/>
              <w:bottom w:type="dxa" w:w="100"/>
              <w:right w:type="dxa" w:w="120"/>
            </w:tcMar>
          </w:tcPr>
          <w:p>
            <w:r>
              <w:rPr>
                <w:b w:val="false"/>
                <w:bCs w:val="false"/>
              </w:rPr>
              <w:t xml:space="preserve">Day 0 — cancellation confirmed</w:t>
            </w:r>
          </w:p>
        </w:tc>
        <w:tc>
          <w:tcPr>
            <w:tcW w:type="dxa" w:w="5600"/>
            <w:tcMar>
              <w:top w:type="dxa" w:w="100"/>
              <w:left w:type="dxa" w:w="120"/>
              <w:bottom w:type="dxa" w:w="100"/>
              <w:right w:type="dxa" w:w="120"/>
            </w:tcMar>
          </w:tcPr>
          <w:p>
            <w:r>
              <w:rPr>
                <w:b w:val="false"/>
                <w:bCs w:val="false"/>
              </w:rPr>
              <w:t xml:space="preserve">Founder opens the cancel-tenant action on the admin dashboard, selects the reason, reviews the auto-calculated effective date, and confirms; confirmation email sent stating the effective date and the deletion date</w:t>
            </w:r>
          </w:p>
        </w:tc>
        <w:tc>
          <w:tcPr>
            <w:tcW w:type="dxa" w:w="1800"/>
            <w:tcMar>
              <w:top w:type="dxa" w:w="100"/>
              <w:left w:type="dxa" w:w="120"/>
              <w:bottom w:type="dxa" w:w="100"/>
              <w:right w:type="dxa" w:w="120"/>
            </w:tcMar>
          </w:tcPr>
          <w:p>
            <w:r>
              <w:rPr>
                <w:b w:val="false"/>
                <w:bCs w:val="false"/>
              </w:rPr>
              <w:t xml:space="preserve">Founder, via admin dashboard</w:t>
            </w:r>
          </w:p>
        </w:tc>
      </w:tr>
      <w:tr>
        <w:tc>
          <w:tcPr>
            <w:tcW w:type="dxa" w:w="2400"/>
            <w:tcMar>
              <w:top w:type="dxa" w:w="100"/>
              <w:left w:type="dxa" w:w="120"/>
              <w:bottom w:type="dxa" w:w="100"/>
              <w:right w:type="dxa" w:w="120"/>
            </w:tcMar>
          </w:tcPr>
          <w:p>
            <w:r>
              <w:rPr>
                <w:b w:val="false"/>
                <w:bCs w:val="false"/>
              </w:rPr>
              <w:t xml:space="preserve">Effective date</w:t>
            </w:r>
          </w:p>
        </w:tc>
        <w:tc>
          <w:tcPr>
            <w:tcW w:type="dxa" w:w="5600"/>
            <w:tcMar>
              <w:top w:type="dxa" w:w="100"/>
              <w:left w:type="dxa" w:w="120"/>
              <w:bottom w:type="dxa" w:w="100"/>
              <w:right w:type="dxa" w:w="120"/>
            </w:tcMar>
          </w:tcPr>
          <w:p>
            <w:r>
              <w:rPr>
                <w:b w:val="false"/>
                <w:bCs w:val="false"/>
              </w:rPr>
              <w:t xml:space="preserve">Tenant moves to suspended; intake email starts auto-replying that the account is inactive; billing cancelled at Stripe; review and export access stays fully open</w:t>
            </w:r>
          </w:p>
        </w:tc>
        <w:tc>
          <w:tcPr>
            <w:tcW w:type="dxa" w:w="1800"/>
            <w:tcMar>
              <w:top w:type="dxa" w:w="100"/>
              <w:left w:type="dxa" w:w="120"/>
              <w:bottom w:type="dxa" w:w="100"/>
              <w:right w:type="dxa" w:w="120"/>
            </w:tcMar>
          </w:tcPr>
          <w:p>
            <w:r>
              <w:rPr>
                <w:b w:val="false"/>
                <w:bCs w:val="false"/>
              </w:rPr>
              <w:t xml:space="preserve">Automated</w:t>
            </w:r>
          </w:p>
        </w:tc>
      </w:tr>
      <w:tr>
        <w:tc>
          <w:tcPr>
            <w:tcW w:type="dxa" w:w="2400"/>
            <w:tcMar>
              <w:top w:type="dxa" w:w="100"/>
              <w:left w:type="dxa" w:w="120"/>
              <w:bottom w:type="dxa" w:w="100"/>
              <w:right w:type="dxa" w:w="120"/>
            </w:tcMar>
          </w:tcPr>
          <w:p>
            <w:r>
              <w:rPr>
                <w:b w:val="false"/>
                <w:bCs w:val="false"/>
              </w:rPr>
              <w:t xml:space="preserve">Window day 1</w:t>
            </w:r>
          </w:p>
        </w:tc>
        <w:tc>
          <w:tcPr>
            <w:tcW w:type="dxa" w:w="5600"/>
            <w:tcMar>
              <w:top w:type="dxa" w:w="100"/>
              <w:left w:type="dxa" w:w="120"/>
              <w:bottom w:type="dxa" w:w="100"/>
              <w:right w:type="dxa" w:w="120"/>
            </w:tcMar>
          </w:tcPr>
          <w:p>
            <w:r>
              <w:rPr>
                <w:b w:val="false"/>
                <w:bCs w:val="false"/>
              </w:rPr>
              <w:t xml:space="preserve">First reminder email: data available for export until [date]</w:t>
            </w:r>
          </w:p>
        </w:tc>
        <w:tc>
          <w:tcPr>
            <w:tcW w:type="dxa" w:w="1800"/>
            <w:tcMar>
              <w:top w:type="dxa" w:w="100"/>
              <w:left w:type="dxa" w:w="120"/>
              <w:bottom w:type="dxa" w:w="100"/>
              <w:right w:type="dxa" w:w="120"/>
            </w:tcMar>
          </w:tcPr>
          <w:p>
            <w:r>
              <w:rPr>
                <w:b w:val="false"/>
                <w:bCs w:val="false"/>
              </w:rPr>
              <w:t xml:space="preserve">Automated</w:t>
            </w:r>
          </w:p>
        </w:tc>
      </w:tr>
      <w:tr>
        <w:tc>
          <w:tcPr>
            <w:tcW w:type="dxa" w:w="2400"/>
            <w:tcMar>
              <w:top w:type="dxa" w:w="100"/>
              <w:left w:type="dxa" w:w="120"/>
              <w:bottom w:type="dxa" w:w="100"/>
              <w:right w:type="dxa" w:w="120"/>
            </w:tcMar>
          </w:tcPr>
          <w:p>
            <w:r>
              <w:rPr>
                <w:b w:val="false"/>
                <w:bCs w:val="false"/>
              </w:rPr>
              <w:t xml:space="preserve">Window day 15</w:t>
            </w:r>
          </w:p>
        </w:tc>
        <w:tc>
          <w:tcPr>
            <w:tcW w:type="dxa" w:w="5600"/>
            <w:tcMar>
              <w:top w:type="dxa" w:w="100"/>
              <w:left w:type="dxa" w:w="120"/>
              <w:bottom w:type="dxa" w:w="100"/>
              <w:right w:type="dxa" w:w="120"/>
            </w:tcMar>
          </w:tcPr>
          <w:p>
            <w:r>
              <w:rPr>
                <w:b w:val="false"/>
                <w:bCs w:val="false"/>
              </w:rPr>
              <w:t xml:space="preserve">Second reminder</w:t>
            </w:r>
          </w:p>
        </w:tc>
        <w:tc>
          <w:tcPr>
            <w:tcW w:type="dxa" w:w="1800"/>
            <w:tcMar>
              <w:top w:type="dxa" w:w="100"/>
              <w:left w:type="dxa" w:w="120"/>
              <w:bottom w:type="dxa" w:w="100"/>
              <w:right w:type="dxa" w:w="120"/>
            </w:tcMar>
          </w:tcPr>
          <w:p>
            <w:r>
              <w:rPr>
                <w:b w:val="false"/>
                <w:bCs w:val="false"/>
              </w:rPr>
              <w:t xml:space="preserve">Automated</w:t>
            </w:r>
          </w:p>
        </w:tc>
      </w:tr>
      <w:tr>
        <w:tc>
          <w:tcPr>
            <w:tcW w:type="dxa" w:w="2400"/>
            <w:tcMar>
              <w:top w:type="dxa" w:w="100"/>
              <w:left w:type="dxa" w:w="120"/>
              <w:bottom w:type="dxa" w:w="100"/>
              <w:right w:type="dxa" w:w="120"/>
            </w:tcMar>
          </w:tcPr>
          <w:p>
            <w:r>
              <w:rPr>
                <w:b w:val="false"/>
                <w:bCs w:val="false"/>
              </w:rPr>
              <w:t xml:space="preserve">Window day 25</w:t>
            </w:r>
          </w:p>
        </w:tc>
        <w:tc>
          <w:tcPr>
            <w:tcW w:type="dxa" w:w="5600"/>
            <w:tcMar>
              <w:top w:type="dxa" w:w="100"/>
              <w:left w:type="dxa" w:w="120"/>
              <w:bottom w:type="dxa" w:w="100"/>
              <w:right w:type="dxa" w:w="120"/>
            </w:tcMar>
          </w:tcPr>
          <w:p>
            <w:r>
              <w:rPr>
                <w:b w:val="false"/>
                <w:bCs w:val="false"/>
              </w:rPr>
              <w:t xml:space="preserve">Final reminder</w:t>
            </w:r>
          </w:p>
        </w:tc>
        <w:tc>
          <w:tcPr>
            <w:tcW w:type="dxa" w:w="1800"/>
            <w:tcMar>
              <w:top w:type="dxa" w:w="100"/>
              <w:left w:type="dxa" w:w="120"/>
              <w:bottom w:type="dxa" w:w="100"/>
              <w:right w:type="dxa" w:w="120"/>
            </w:tcMar>
          </w:tcPr>
          <w:p>
            <w:r>
              <w:rPr>
                <w:b w:val="false"/>
                <w:bCs w:val="false"/>
              </w:rPr>
              <w:t xml:space="preserve">Automated</w:t>
            </w:r>
          </w:p>
        </w:tc>
      </w:tr>
      <w:tr>
        <w:tc>
          <w:tcPr>
            <w:tcW w:type="dxa" w:w="2400"/>
            <w:tcMar>
              <w:top w:type="dxa" w:w="100"/>
              <w:left w:type="dxa" w:w="120"/>
              <w:bottom w:type="dxa" w:w="100"/>
              <w:right w:type="dxa" w:w="120"/>
            </w:tcMar>
          </w:tcPr>
          <w:p>
            <w:r>
              <w:rPr>
                <w:b w:val="false"/>
                <w:bCs w:val="false"/>
              </w:rPr>
              <w:t xml:space="preserve">Window day 30</w:t>
            </w:r>
          </w:p>
        </w:tc>
        <w:tc>
          <w:tcPr>
            <w:tcW w:type="dxa" w:w="5600"/>
            <w:tcMar>
              <w:top w:type="dxa" w:w="100"/>
              <w:left w:type="dxa" w:w="120"/>
              <w:bottom w:type="dxa" w:w="100"/>
              <w:right w:type="dxa" w:w="120"/>
            </w:tcMar>
          </w:tcPr>
          <w:p>
            <w:r>
              <w:rPr>
                <w:b w:val="false"/>
                <w:bCs w:val="false"/>
              </w:rPr>
              <w:t xml:space="preserve">Tenant appears in the founder's “ready to delete” queue on the admin dashboard — nothing happens automatically</w:t>
            </w:r>
          </w:p>
        </w:tc>
        <w:tc>
          <w:tcPr>
            <w:tcW w:type="dxa" w:w="1800"/>
            <w:tcMar>
              <w:top w:type="dxa" w:w="100"/>
              <w:left w:type="dxa" w:w="120"/>
              <w:bottom w:type="dxa" w:w="100"/>
              <w:right w:type="dxa" w:w="120"/>
            </w:tcMar>
          </w:tcPr>
          <w:p>
            <w:r>
              <w:rPr>
                <w:b w:val="false"/>
                <w:bCs w:val="false"/>
              </w:rPr>
              <w:t xml:space="preserve">Automated flag, founder reviews</w:t>
            </w:r>
          </w:p>
        </w:tc>
      </w:tr>
      <w:tr>
        <w:tc>
          <w:tcPr>
            <w:tcW w:type="dxa" w:w="2400"/>
            <w:tcMar>
              <w:top w:type="dxa" w:w="100"/>
              <w:left w:type="dxa" w:w="120"/>
              <w:bottom w:type="dxa" w:w="100"/>
              <w:right w:type="dxa" w:w="120"/>
            </w:tcMar>
          </w:tcPr>
          <w:p>
            <w:r>
              <w:rPr>
                <w:b w:val="false"/>
                <w:bCs w:val="false"/>
              </w:rPr>
              <w:t xml:space="preserve">On founder confirmation</w:t>
            </w:r>
          </w:p>
        </w:tc>
        <w:tc>
          <w:tcPr>
            <w:tcW w:type="dxa" w:w="5600"/>
            <w:tcMar>
              <w:top w:type="dxa" w:w="100"/>
              <w:left w:type="dxa" w:w="120"/>
              <w:bottom w:type="dxa" w:w="100"/>
              <w:right w:type="dxa" w:w="120"/>
            </w:tcMar>
          </w:tcPr>
          <w:p>
            <w:r>
              <w:rPr>
                <w:b w:val="false"/>
                <w:bCs w:val="false"/>
              </w:rPr>
              <w:t xml:space="preserve">Founder types the tenant name to confirm; deletion executes; lifecycle event logged permanently</w:t>
            </w:r>
          </w:p>
        </w:tc>
        <w:tc>
          <w:tcPr>
            <w:tcW w:type="dxa" w:w="1800"/>
            <w:tcMar>
              <w:top w:type="dxa" w:w="100"/>
              <w:left w:type="dxa" w:w="120"/>
              <w:bottom w:type="dxa" w:w="100"/>
              <w:right w:type="dxa" w:w="120"/>
            </w:tcMar>
          </w:tcPr>
          <w:p>
            <w:r>
              <w:rPr>
                <w:b w:val="false"/>
                <w:bCs w:val="false"/>
              </w:rPr>
              <w:t xml:space="preserve">Founder</w:t>
            </w:r>
          </w:p>
        </w:tc>
      </w:tr>
    </w:tbl>
    <w:p>
      <w:pPr>
        <w:spacing w:before="240"/>
      </w:pPr>
    </w:p>
    <w:p>
      <w:pPr>
        <w:pStyle w:val="Heading1"/>
        <w:spacing w:after="160" w:before="320"/>
      </w:pPr>
      <w:r>
        <w:t xml:space="preserve">What the customer keeps during suspension</w:t>
      </w:r>
    </w:p>
    <w:p>
      <w:pPr>
        <w:pStyle w:val="ListParagraph"/>
        <w:numPr>
          <w:ilvl w:val="0"/>
          <w:numId w:val="2"/>
        </w:numPr>
        <w:spacing w:after="120"/>
      </w:pPr>
      <w:r>
        <w:t xml:space="preserve">Full document history and review screens</w:t>
      </w:r>
    </w:p>
    <w:p>
      <w:pPr>
        <w:pStyle w:val="ListParagraph"/>
        <w:numPr>
          <w:ilvl w:val="0"/>
          <w:numId w:val="2"/>
        </w:numPr>
        <w:spacing w:after="120"/>
      </w:pPr>
      <w:r>
        <w:t xml:space="preserve">Every export format (CSV, Excel, JSON, IIF) for everything already processed</w:t>
      </w:r>
    </w:p>
    <w:p>
      <w:pPr>
        <w:pStyle w:val="ListParagraph"/>
        <w:numPr>
          <w:ilvl w:val="0"/>
          <w:numId w:val="2"/>
        </w:numPr>
        <w:spacing w:after="120"/>
      </w:pPr>
      <w:r>
        <w:t xml:space="preserve">Their own catalog and buyer list, downloadable on request</w:t>
      </w:r>
    </w:p>
    <w:p>
      <w:pPr>
        <w:spacing w:after="200"/>
      </w:pPr>
      <w:r>
        <w:t xml:space="preserve">What stops: new document intake (the inbound address auto-replies with a clear message rather than silently bouncing, and uploads are blocked) and any further billing.</w:t>
      </w:r>
    </w:p>
    <w:p>
      <w:pPr>
        <w:pStyle w:val="Heading1"/>
        <w:spacing w:after="160" w:before="320"/>
      </w:pPr>
      <w:r>
        <w:t xml:space="preserve">Reactivation</w:t>
      </w:r>
    </w:p>
    <w:p>
      <w:pPr>
        <w:spacing w:after="200"/>
      </w:pPr>
      <w:r>
        <w:t xml:space="preserve">A tenant in suspended or pending_deletion can return to active at any time simply by resuming payment — no re-onboarding required. Their catalog, buyer list, and every learned mapping are untouched. This is a genuine retention lever, not just a technicality: winning back a paused customer is far cheaper than acquiring a new one, and the tuned, working schema is exactly the switching cost that makes this business defensible. Make reactivation at least as easy as cancellation — a mirrored action on the same admin dashboard tenant page, not a separate request process.</w:t>
      </w:r>
    </w:p>
    <w:p>
      <w:pPr>
        <w:pStyle w:val="Heading1"/>
        <w:spacing w:after="160" w:before="320"/>
      </w:pPr>
      <w:r>
        <w:t xml:space="preserve">Deletion checklist — founder-executed, never automatic</w:t>
      </w:r>
    </w:p>
    <w:p>
      <w:pPr>
        <w:pStyle w:val="ListParagraph"/>
        <w:numPr>
          <w:ilvl w:val="0"/>
          <w:numId w:val="2"/>
        </w:numPr>
        <w:spacing w:after="120"/>
      </w:pPr>
      <w:r>
        <w:t xml:space="preserve">Confirm the export window has genuinely elapsed</w:t>
      </w:r>
    </w:p>
    <w:p>
      <w:pPr>
        <w:pStyle w:val="ListParagraph"/>
        <w:numPr>
          <w:ilvl w:val="0"/>
          <w:numId w:val="2"/>
        </w:numPr>
        <w:spacing w:after="120"/>
      </w:pPr>
      <w:r>
        <w:t xml:space="preserve">Type the tenant name to confirm — not a single click</w:t>
      </w:r>
    </w:p>
    <w:p>
      <w:pPr>
        <w:pStyle w:val="ListParagraph"/>
        <w:numPr>
          <w:ilvl w:val="0"/>
          <w:numId w:val="2"/>
        </w:numPr>
        <w:spacing w:after="120"/>
      </w:pPr>
      <w:r>
        <w:t xml:space="preserve">Confirm a reason is recorded</w:t>
      </w:r>
    </w:p>
    <w:p>
      <w:pPr>
        <w:pStyle w:val="ListParagraph"/>
        <w:numPr>
          <w:ilvl w:val="0"/>
          <w:numId w:val="2"/>
        </w:numPr>
        <w:spacing w:after="120"/>
      </w:pPr>
      <w:r>
        <w:t xml:space="preserve">Handle the Stripe customer object per whatever billing-record retention your accounting/tax obligations require — that data may follow a different retention clock than product data</w:t>
      </w:r>
    </w:p>
    <w:p>
      <w:pPr>
        <w:pStyle w:val="ListParagraph"/>
        <w:numPr>
          <w:ilvl w:val="0"/>
          <w:numId w:val="2"/>
        </w:numPr>
        <w:spacing w:after="120"/>
      </w:pPr>
      <w:r>
        <w:t xml:space="preserve">Confirm the deletion event itself is retained in the immutable lifecycle log even after the tenant's own data is gone</w:t>
      </w:r>
    </w:p>
    <w:p>
      <w:pPr>
        <w:pStyle w:val="Heading1"/>
        <w:spacing w:after="160" w:before="320"/>
      </w:pPr>
      <w:r>
        <w:t xml:space="preserve">Non-payment cancellation — one difference from voluntary</w:t>
      </w:r>
    </w:p>
    <w:p>
      <w:pPr>
        <w:spacing w:after="200"/>
      </w:pPr>
      <w:r>
        <w:t xml:space="preserve">Follows the same states, but the clock starts at the end of the Terms of Service cure period rather than at a billing-period boundary. Everything else is identical: suspension preserves full access, and the same export window and reminder cadence applies.</w:t>
      </w:r>
    </w:p>
    <w:p>
      <w:pPr>
        <w:pStyle w:val="Heading1"/>
        <w:spacing w:after="160" w:before="320"/>
      </w:pPr>
      <w:r>
        <w:t xml:space="preserve">What we deliberately don't do</w:t>
      </w:r>
    </w:p>
    <w:p>
      <w:pPr>
        <w:pStyle w:val="ListParagraph"/>
        <w:numPr>
          <w:ilvl w:val="0"/>
          <w:numId w:val="2"/>
        </w:numPr>
        <w:spacing w:after="120"/>
      </w:pPr>
      <w:r>
        <w:t xml:space="preserve">Auto-delete on a schedule, ever</w:t>
      </w:r>
    </w:p>
    <w:p>
      <w:pPr>
        <w:pStyle w:val="ListParagraph"/>
        <w:numPr>
          <w:ilvl w:val="0"/>
          <w:numId w:val="2"/>
        </w:numPr>
        <w:spacing w:after="120"/>
      </w:pPr>
      <w:r>
        <w:t xml:space="preserve">Cut off access early for a customer who's already paid through the end of a period</w:t>
      </w:r>
    </w:p>
    <w:p>
      <w:pPr>
        <w:pStyle w:val="ListParagraph"/>
        <w:numPr>
          <w:ilvl w:val="0"/>
          <w:numId w:val="2"/>
        </w:numPr>
        <w:spacing w:after="120"/>
      </w:pPr>
      <w:r>
        <w:t xml:space="preserve">Make export harder during wind-down than it was during active use</w:t>
      </w:r>
    </w:p>
    <w:p>
      <w:pPr>
        <w:pStyle w:val="ListParagraph"/>
        <w:numPr>
          <w:ilvl w:val="0"/>
          <w:numId w:val="2"/>
        </w:numPr>
        <w:spacing w:after="120"/>
      </w:pPr>
      <w:r>
        <w:t xml:space="preserve">Use data access as leverage to discourage cancellation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2026-09-16T13:38:15.486Z</dcterms:created>
  <dcterms:modified xsi:type="dcterms:W3CDTF">2026-09-16T13:38:15.494Z</dcterms:modified>
</cp:coreProperties>
</file>

<file path=docProps/custom.xml><?xml version="1.0" encoding="utf-8"?>
<Properties xmlns="http://schemas.openxmlformats.org/officeDocument/2006/custom-properties" xmlns:vt="http://schemas.openxmlformats.org/officeDocument/2006/docPropsVTypes"/>
</file>