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DocFlow — Customer Onboarding Process</w:t>
      </w:r>
    </w:p>
    <w:p>
      <w:pPr>
        <w:spacing w:after="320"/>
      </w:pPr>
      <w:r>
        <w:rPr>
          <w:i/>
          <w:iCs/>
        </w:rPr>
        <w:t xml:space="preserve">Internal reference · Version 3 · September 2026</w:t>
      </w:r>
    </w:p>
    <w:p>
      <w:pPr>
        <w:pStyle w:val="Heading1"/>
        <w:spacing w:after="160" w:before="320"/>
      </w:pPr>
      <w:r>
        <w:t xml:space="preserve">Purpose</w:t>
      </w:r>
    </w:p>
    <w:p>
      <w:pPr>
        <w:spacing w:after="200"/>
      </w:pPr>
      <w:r>
        <w:t xml:space="preserve">This document defines the step-by-step onboarding process for a new DocFlow customer, from first contact to go-live and the first-week check-in. It reflects decisions worked through in planning: what documents we actually need, what we don't touch, and how to keep the process repeatable rather than improvised per customer.</w:t>
      </w:r>
    </w:p>
    <w:p>
      <w:pPr>
        <w:spacing w:after="200"/>
      </w:pPr>
      <w:r>
        <w:t xml:space="preserve">Version 3 change: reversed the Version 2 decision to make setup self-serve. The customer still sends their catalog, customer list, and sample POs — the same way they always have — but the founder enters and processes that data using an internal admin tool, not a customer-facing wizard. This keeps the “we take the pain away” positioning intact (a self-serve upload wizard is the thing competing self-serve parsers offer) and avoids building customer-facing signup, SSO, and defensive upload UX that only the founder actually needs.</w:t>
      </w:r>
    </w:p>
    <w:p>
      <w:pPr>
        <w:pStyle w:val="Heading1"/>
        <w:spacing w:after="160" w:before="320"/>
      </w:pPr>
      <w:r>
        <w:t xml:space="preserve">Guiding principle</w:t>
      </w:r>
    </w:p>
    <w:p>
      <w:pPr>
        <w:spacing w:after="200"/>
      </w:pPr>
      <w:r>
        <w:t xml:space="preserve">Move information-gathering out of live time wherever possible, reuse templates instead of rebuilding schemas from scratch, and keep the human touch exactly where it's the actual product — validating accuracy before the customer ever sees a rough draft. Everything else should be async, templated, or automated.</w:t>
      </w:r>
    </w:p>
    <w:p>
      <w:pPr>
        <w:pStyle w:val="Heading1"/>
        <w:spacing w:after="160" w:before="320"/>
      </w:pPr>
      <w:r>
        <w:t xml:space="preserve">Founder-operated setup (Day 0, before kickoff)</w:t>
      </w:r>
    </w:p>
    <w:p>
      <w:pPr>
        <w:spacing w:after="200"/>
      </w:pPr>
      <w:r>
        <w:t xml:space="preserve">The customer never logs in to set anything up. They send their catalog, customer list (if they have one), and sample POs the same way they always would — as email attachments or through the async intake form. The founder then enters and processes that data using an internal admin tool built for this purpose. This is not manual data entry: the tool automates the parsing, validation, and extraction work; the founder is operating it and making judgment calls, not retyping anything.</w:t>
      </w:r>
    </w:p>
    <w:p>
      <w:pPr>
        <w:pStyle w:val="Heading2"/>
        <w:spacing w:after="120" w:before="240"/>
      </w:pPr>
      <w:r>
        <w:t xml:space="preserve">Step 1 — Files land in a staging area</w:t>
      </w:r>
    </w:p>
    <w:p>
      <w:pPr>
        <w:pStyle w:val="ListParagraph"/>
        <w:numPr>
          <w:ilvl w:val="0"/>
          <w:numId w:val="2"/>
        </w:numPr>
        <w:spacing w:after="120"/>
      </w:pPr>
      <w:r>
        <w:t xml:space="preserve">Email attachments and intake-form uploads are saved to a per-prospect staging folder — no tenant exists yet</w:t>
      </w:r>
    </w:p>
    <w:p>
      <w:pPr>
        <w:pStyle w:val="ListParagraph"/>
        <w:numPr>
          <w:ilvl w:val="0"/>
          <w:numId w:val="2"/>
        </w:numPr>
        <w:spacing w:after="120"/>
      </w:pPr>
      <w:r>
        <w:t xml:space="preserve">Keeps a bad or mislabeled file from ever touching another tenant's data</w:t>
      </w:r>
    </w:p>
    <w:p>
      <w:pPr>
        <w:pStyle w:val="Heading2"/>
        <w:spacing w:after="120" w:before="240"/>
      </w:pPr>
      <w:r>
        <w:t xml:space="preserve">Step 2 — Founder creates the tenant</w:t>
      </w:r>
    </w:p>
    <w:p>
      <w:pPr>
        <w:pStyle w:val="ListParagraph"/>
        <w:numPr>
          <w:ilvl w:val="0"/>
          <w:numId w:val="2"/>
        </w:numPr>
        <w:spacing w:after="120"/>
      </w:pPr>
      <w:r>
        <w:t xml:space="preserve">One form in the internal admin tool: company name, primary currency, timezone, plan tier</w:t>
      </w:r>
    </w:p>
    <w:p>
      <w:pPr>
        <w:pStyle w:val="ListParagraph"/>
        <w:numPr>
          <w:ilvl w:val="0"/>
          <w:numId w:val="2"/>
        </w:numPr>
        <w:spacing w:after="120"/>
      </w:pPr>
      <w:r>
        <w:t xml:space="preserve">Submitting it creates the tenant record, the first admin user, and auto-generates the unique inbound intake email address, all in one action</w:t>
      </w:r>
    </w:p>
    <w:p>
      <w:pPr>
        <w:pStyle w:val="ListParagraph"/>
        <w:numPr>
          <w:ilvl w:val="0"/>
          <w:numId w:val="2"/>
        </w:numPr>
        <w:spacing w:after="120"/>
      </w:pPr>
      <w:r>
        <w:t xml:space="preserve">The intake email exists from this point but isn't activated for production mail until go-live (Step 8)</w:t>
      </w:r>
    </w:p>
    <w:p>
      <w:pPr>
        <w:pStyle w:val="Heading2"/>
        <w:spacing w:after="120" w:before="240"/>
      </w:pPr>
      <w:r>
        <w:t xml:space="preserve">Step 3 — Founder sends the customer a login invite (optional timing)</w:t>
      </w:r>
    </w:p>
    <w:p>
      <w:pPr>
        <w:pStyle w:val="ListParagraph"/>
        <w:numPr>
          <w:ilvl w:val="0"/>
          <w:numId w:val="2"/>
        </w:numPr>
        <w:spacing w:after="120"/>
      </w:pPr>
      <w:r>
        <w:t xml:space="preserve">System emails the customer a “set your password / log in” link tied to the admin user just created</w:t>
      </w:r>
    </w:p>
    <w:p>
      <w:pPr>
        <w:pStyle w:val="ListParagraph"/>
        <w:numPr>
          <w:ilvl w:val="0"/>
          <w:numId w:val="2"/>
        </w:numPr>
        <w:spacing w:after="120"/>
      </w:pPr>
      <w:r>
        <w:t xml:space="preserve">Can be sent now or held until go-live — either way, this is the only self-serve moment left for the customer: logging into an account that already has their data in it</w:t>
      </w:r>
    </w:p>
    <w:p>
      <w:pPr>
        <w:pStyle w:val="Heading2"/>
        <w:spacing w:after="120" w:before="240"/>
      </w:pPr>
      <w:r>
        <w:t xml:space="preserve">Step 4 — Founder uploads the catalog</w:t>
      </w:r>
    </w:p>
    <w:p>
      <w:pPr>
        <w:pStyle w:val="ListParagraph"/>
        <w:numPr>
          <w:ilvl w:val="0"/>
          <w:numId w:val="2"/>
        </w:numPr>
        <w:spacing w:after="120"/>
      </w:pPr>
      <w:r>
        <w:t xml:space="preserve">Same parsing logic the self-serve version would have used — CSV/Excel parse, preview table, column-mapping if headers don't match sku/description — just operated by the founder instead of the customer</w:t>
      </w:r>
    </w:p>
    <w:p>
      <w:pPr>
        <w:pStyle w:val="ListParagraph"/>
        <w:numPr>
          <w:ilvl w:val="0"/>
          <w:numId w:val="2"/>
        </w:numPr>
        <w:spacing w:after="120"/>
      </w:pPr>
      <w:r>
        <w:t xml:space="preserve">Blank SKUs, duplicate SKUs, and obviously malformed rows are flagged in the preview grid before anything commits to the items table</w:t>
      </w:r>
    </w:p>
    <w:p>
      <w:pPr>
        <w:pStyle w:val="ListParagraph"/>
        <w:numPr>
          <w:ilvl w:val="0"/>
          <w:numId w:val="2"/>
        </w:numPr>
        <w:spacing w:after="120"/>
      </w:pPr>
      <w:r>
        <w:t xml:space="preserve">Founder fixes issues inline, or in the source file and re-uploads</w:t>
      </w:r>
    </w:p>
    <w:p>
      <w:pPr>
        <w:pStyle w:val="Heading2"/>
        <w:spacing w:after="120" w:before="240"/>
      </w:pPr>
      <w:r>
        <w:t xml:space="preserve">Step 5 — Founder uploads the customer list, if one was sent</w:t>
      </w:r>
    </w:p>
    <w:p>
      <w:pPr>
        <w:pStyle w:val="ListParagraph"/>
        <w:numPr>
          <w:ilvl w:val="0"/>
          <w:numId w:val="2"/>
        </w:numPr>
        <w:spacing w:after="120"/>
      </w:pPr>
      <w:r>
        <w:t xml:space="preserve">Same preview/mapping screen as the catalog</w:t>
      </w:r>
    </w:p>
    <w:p>
      <w:pPr>
        <w:pStyle w:val="ListParagraph"/>
        <w:numPr>
          <w:ilvl w:val="0"/>
          <w:numId w:val="2"/>
        </w:numPr>
        <w:spacing w:after="120"/>
      </w:pPr>
      <w:r>
        <w:t xml:space="preserve">Skipped entirely if none was sent — buyer records still get created automatically from the sample POs in the next step</w:t>
      </w:r>
    </w:p>
    <w:p>
      <w:pPr>
        <w:pStyle w:val="Heading2"/>
        <w:spacing w:after="120" w:before="240"/>
      </w:pPr>
      <w:r>
        <w:t xml:space="preserve">Step 6 — Founder uploads the 5–10 sample POs</w:t>
      </w:r>
    </w:p>
    <w:p>
      <w:pPr>
        <w:pStyle w:val="ListParagraph"/>
        <w:numPr>
          <w:ilvl w:val="0"/>
          <w:numId w:val="2"/>
        </w:numPr>
        <w:spacing w:after="120"/>
      </w:pPr>
      <w:r>
        <w:t xml:space="preserve">Stored and tagged as the test batch for this tenant</w:t>
      </w:r>
    </w:p>
    <w:p>
      <w:pPr>
        <w:pStyle w:val="Heading2"/>
        <w:spacing w:after="120" w:before="240"/>
      </w:pPr>
      <w:r>
        <w:t xml:space="preserve">Step 7 — Tool runs extraction against the test batch</w:t>
      </w:r>
    </w:p>
    <w:p>
      <w:pPr>
        <w:pStyle w:val="ListParagraph"/>
        <w:numPr>
          <w:ilvl w:val="0"/>
          <w:numId w:val="2"/>
        </w:numPr>
        <w:spacing w:after="120"/>
      </w:pPr>
      <w:r>
        <w:t xml:space="preserve">This is the same extraction pipeline the production product uses, not a separate onboarding-specific process — the admin tool just triggers it against this tenant's catalog</w:t>
      </w:r>
    </w:p>
    <w:p>
      <w:pPr>
        <w:pStyle w:val="Heading2"/>
        <w:spacing w:after="120" w:before="240"/>
      </w:pPr>
      <w:r>
        <w:t xml:space="preserve">Step 8 — Founder reviews the test extraction</w:t>
      </w:r>
    </w:p>
    <w:p>
      <w:pPr>
        <w:pStyle w:val="ListParagraph"/>
        <w:numPr>
          <w:ilvl w:val="0"/>
          <w:numId w:val="2"/>
        </w:numPr>
        <w:spacing w:after="120"/>
      </w:pPr>
      <w:r>
        <w:t xml:space="preserve">Uses the standard side-by-side review UI — the same screen used for production documents</w:t>
      </w:r>
    </w:p>
    <w:p>
      <w:pPr>
        <w:pStyle w:val="ListParagraph"/>
        <w:numPr>
          <w:ilvl w:val="0"/>
          <w:numId w:val="2"/>
        </w:numPr>
        <w:spacing w:after="120"/>
      </w:pPr>
      <w:r>
        <w:t xml:space="preserve">Corrects misses, creates SKU mappings as needed</w:t>
      </w:r>
    </w:p>
    <w:p>
      <w:pPr>
        <w:pStyle w:val="ListParagraph"/>
        <w:numPr>
          <w:ilvl w:val="0"/>
          <w:numId w:val="2"/>
        </w:numPr>
        <w:spacing w:after="120"/>
      </w:pPr>
      <w:r>
        <w:t xml:space="preserve">Buyer records are created and near-duplicate names merged from this review pass</w:t>
      </w:r>
    </w:p>
    <w:p>
      <w:pPr>
        <w:pStyle w:val="Heading2"/>
        <w:spacing w:after="120" w:before="240"/>
      </w:pPr>
      <w:r>
        <w:t xml:space="preserve">Step 9 — Tool marks setup “test batch complete”</w:t>
      </w:r>
    </w:p>
    <w:p>
      <w:pPr>
        <w:pStyle w:val="ListParagraph"/>
        <w:numPr>
          <w:ilvl w:val="0"/>
          <w:numId w:val="2"/>
        </w:numPr>
        <w:spacing w:after="120"/>
      </w:pPr>
      <w:r>
        <w:t xml:space="preserve">Once every sample PO is reviewed and approved, the admin tool flags the tenant as ready</w:t>
      </w:r>
    </w:p>
    <w:p>
      <w:pPr>
        <w:pStyle w:val="ListParagraph"/>
        <w:numPr>
          <w:ilvl w:val="0"/>
          <w:numId w:val="2"/>
        </w:numPr>
        <w:spacing w:after="120"/>
      </w:pPr>
      <w:r>
        <w:t xml:space="preserve">This is what unlocks scheduling the kickoff call</w:t>
      </w:r>
    </w:p>
    <w:p>
      <w:pPr>
        <w:pStyle w:val="Heading3"/>
        <w:spacing w:after="100" w:before="200"/>
      </w:pPr>
      <w:r>
        <w:t xml:space="preserve">A note on the inbound intake email address</w:t>
      </w:r>
    </w:p>
    <w:p>
      <w:pPr>
        <w:spacing w:after="200"/>
      </w:pPr>
      <w:r>
        <w:t xml:space="preserve">Each tenant gets a unique inbound email address on DocFlow's own domain (not a Gmail/Outlook account) — generated automatically at tenant creation (Step 2), then activated for production mail at go-live (Step 8 in the sequence table below). The exact addressing scheme (plus-addressing, e.g. orders+acme@docflow.com, vs. a per-tenant subdomain) is still an open decision — see the Tech Stack &amp; Costs document.</w:t>
      </w:r>
    </w:p>
    <w:p>
      <w:pPr>
        <w:pStyle w:val="Heading1"/>
        <w:spacing w:after="160" w:before="320"/>
      </w:pPr>
      <w:r>
        <w:t xml:space="preserve">Kickoff call</w:t>
      </w:r>
    </w:p>
    <w:p>
      <w:pPr>
        <w:spacing w:after="200"/>
      </w:pPr>
      <w:r>
        <w:t xml:space="preserve">20–30 minutes, scheduled once the internal admin tool marks the test batch complete. Because the founder has already processed the catalog and reviewed real extraction results on this customer's own documents, the call is informed rather than exploratory — it covers only what the tool and the data can't: order process, edge cases, timeline and scope expectations.</w:t>
      </w:r>
    </w:p>
    <w:p>
      <w:pPr>
        <w:pStyle w:val="Heading1"/>
        <w:spacing w:after="160" w:before="320"/>
      </w:pPr>
      <w:r>
        <w:t xml:space="preserve">What we ask the customer for</w:t>
      </w:r>
    </w:p>
    <w:p>
      <w:pPr>
        <w:pStyle w:val="Heading2"/>
        <w:spacing w:after="120" w:before="240"/>
      </w:pPr>
      <w:r>
        <w:t xml:space="preserve">1. Item / SKU catalog — required</w:t>
      </w:r>
    </w:p>
    <w:p>
      <w:pPr>
        <w:spacing w:after="200"/>
      </w:pPr>
      <w:r>
        <w:t xml:space="preserve">Exported however they already keep it (ERP report, spreadsheet) as CSV or Excel. Required columns: sku, description. Optional but useful: unit_of_measure, barcode, their own external_id. This is the reference list every incoming PO line item gets matched against — there is no substitute for it, since nothing on an incoming PO states the distributor's own SKU codes.</w:t>
      </w:r>
    </w:p>
    <w:p>
      <w:pPr>
        <w:pStyle w:val="Heading2"/>
        <w:spacing w:after="120" w:before="240"/>
      </w:pPr>
      <w:r>
        <w:t xml:space="preserve">2. Five to ten real recent purchase orders — required</w:t>
      </w:r>
    </w:p>
    <w:p>
      <w:pPr>
        <w:spacing w:after="200"/>
      </w:pPr>
      <w:r>
        <w:t xml:space="preserve">Actual documents the customer has already received. These serve two purposes: they're the test set used to validate extraction accuracy before go-live, and they're the source buyer identities are built from — no separate customer list has to be produced for this.</w:t>
      </w:r>
    </w:p>
    <w:p>
      <w:pPr>
        <w:pStyle w:val="Heading2"/>
        <w:spacing w:after="120" w:before="240"/>
      </w:pPr>
      <w:r>
        <w:t xml:space="preserve">3. Customer list — optional, invited</w:t>
      </w:r>
    </w:p>
    <w:p>
      <w:pPr>
        <w:spacing w:after="200"/>
      </w:pPr>
      <w:r>
        <w:t xml:space="preserve">If the customer already has a clean export of their buyer list (name, account number, optionally email), it saves some cleanup time and helps disambiguate near-duplicate buyer names later. If they don't have one handy, we don't ask for it — buyer records are created automatically the first time a name appears on a real PO, and obvious duplicates (“Acme Mfg Co” vs. “ACME Manufacturing Inc”) are merged during review.</w:t>
      </w:r>
    </w:p>
    <w:p>
      <w:pPr>
        <w:pStyle w:val="Heading2"/>
        <w:spacing w:after="120" w:before="240"/>
      </w:pPr>
      <w:r>
        <w:t xml:space="preserve">What we do not ask for</w:t>
      </w:r>
    </w:p>
    <w:p>
      <w:pPr>
        <w:spacing w:after="200"/>
      </w:pPr>
      <w:r>
        <w:t xml:space="preserve">We never need access to the customer's live ERP, accounting system, or database, and we never connect to one. DocFlow does not sync into NetSuite, QuickBooks, SAP B1, Business Central, or any other system in the MVP. It is a one-way exchange in each direction: the customer exports files in, and downloads an export file out (CSV, Excel, JSON, or IIF for QuickBooks Desktop) to import into their own system themselves.</w:t>
      </w:r>
    </w:p>
    <w:p>
      <w:pPr>
        <w:pStyle w:val="Heading1"/>
        <w:spacing w:after="160" w:before="320"/>
      </w:pPr>
      <w:r>
        <w:t xml:space="preserve">Onboarding sequence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gridCol w:w="1800"/>
      </w:tblGrid>
      <w:tr>
        <w:trPr>
          <w:tblHeader/>
        </w:trPr>
        <w:tc>
          <w:tcPr>
            <w:tcW w:type="dxa" w:w="2400"/>
            <w:shd w:fill="D9D9D9" w:color="auto" w:val="clear"/>
            <w:tcMar>
              <w:top w:type="dxa" w:w="100"/>
              <w:left w:type="dxa" w:w="120"/>
              <w:bottom w:type="dxa" w:w="100"/>
              <w:right w:type="dxa" w:w="120"/>
            </w:tcMar>
          </w:tcPr>
          <w:p>
            <w:r>
              <w:rPr>
                <w:b/>
                <w:bCs/>
              </w:rPr>
              <w:t xml:space="preserve">When</w:t>
            </w:r>
          </w:p>
        </w:tc>
        <w:tc>
          <w:tcPr>
            <w:tcW w:type="dxa" w:w="5600"/>
            <w:shd w:fill="D9D9D9" w:color="auto" w:val="clear"/>
            <w:tcMar>
              <w:top w:type="dxa" w:w="100"/>
              <w:left w:type="dxa" w:w="120"/>
              <w:bottom w:type="dxa" w:w="100"/>
              <w:right w:type="dxa" w:w="120"/>
            </w:tcMar>
          </w:tcPr>
          <w:p>
            <w:r>
              <w:rPr>
                <w:b/>
                <w:bCs/>
              </w:rPr>
              <w:t xml:space="preserve">What happens</w:t>
            </w:r>
          </w:p>
        </w:tc>
        <w:tc>
          <w:tcPr>
            <w:tcW w:type="dxa" w:w="1800"/>
            <w:shd w:fill="D9D9D9" w:color="auto" w:val="clear"/>
            <w:tcMar>
              <w:top w:type="dxa" w:w="100"/>
              <w:left w:type="dxa" w:w="120"/>
              <w:bottom w:type="dxa" w:w="100"/>
              <w:right w:type="dxa" w:w="120"/>
            </w:tcMar>
          </w:tcPr>
          <w:p>
            <w:r>
              <w:rPr>
                <w:b/>
                <w:bCs/>
              </w:rPr>
              <w:t xml:space="preserve">Who</w:t>
            </w:r>
          </w:p>
        </w:tc>
      </w:tr>
      <w:tr>
        <w:tc>
          <w:tcPr>
            <w:tcW w:type="dxa" w:w="2400"/>
            <w:tcMar>
              <w:top w:type="dxa" w:w="100"/>
              <w:left w:type="dxa" w:w="120"/>
              <w:bottom w:type="dxa" w:w="100"/>
              <w:right w:type="dxa" w:w="120"/>
            </w:tcMar>
          </w:tcPr>
          <w:p>
            <w:r>
              <w:rPr>
                <w:b w:val="false"/>
                <w:bCs w:val="false"/>
              </w:rPr>
              <w:t xml:space="preserve">Day 0</w:t>
            </w:r>
          </w:p>
        </w:tc>
        <w:tc>
          <w:tcPr>
            <w:tcW w:type="dxa" w:w="5600"/>
            <w:tcMar>
              <w:top w:type="dxa" w:w="100"/>
              <w:left w:type="dxa" w:w="120"/>
              <w:bottom w:type="dxa" w:w="100"/>
              <w:right w:type="dxa" w:w="120"/>
            </w:tcMar>
          </w:tcPr>
          <w:p>
            <w:r>
              <w:rPr>
                <w:b w:val="false"/>
                <w:bCs w:val="false"/>
              </w:rPr>
              <w:t xml:space="preserve">Prospect sends catalog, customer list (if they have one), and 5–10 sample POs via the intake form or email</w:t>
            </w:r>
          </w:p>
        </w:tc>
        <w:tc>
          <w:tcPr>
            <w:tcW w:type="dxa" w:w="1800"/>
            <w:tcMar>
              <w:top w:type="dxa" w:w="100"/>
              <w:left w:type="dxa" w:w="120"/>
              <w:bottom w:type="dxa" w:w="100"/>
              <w:right w:type="dxa" w:w="120"/>
            </w:tcMar>
          </w:tcPr>
          <w:p>
            <w:r>
              <w:rPr>
                <w:b w:val="false"/>
                <w:bCs w:val="false"/>
              </w:rPr>
              <w:t xml:space="preserve">Customer</w:t>
            </w:r>
          </w:p>
        </w:tc>
      </w:tr>
      <w:tr>
        <w:tc>
          <w:tcPr>
            <w:tcW w:type="dxa" w:w="2400"/>
            <w:tcMar>
              <w:top w:type="dxa" w:w="100"/>
              <w:left w:type="dxa" w:w="120"/>
              <w:bottom w:type="dxa" w:w="100"/>
              <w:right w:type="dxa" w:w="120"/>
            </w:tcMar>
          </w:tcPr>
          <w:p>
            <w:r>
              <w:rPr>
                <w:b w:val="false"/>
                <w:bCs w:val="false"/>
              </w:rPr>
              <w:t xml:space="preserve">Day 0–1</w:t>
            </w:r>
          </w:p>
        </w:tc>
        <w:tc>
          <w:tcPr>
            <w:tcW w:type="dxa" w:w="5600"/>
            <w:tcMar>
              <w:top w:type="dxa" w:w="100"/>
              <w:left w:type="dxa" w:w="120"/>
              <w:bottom w:type="dxa" w:w="100"/>
              <w:right w:type="dxa" w:w="120"/>
            </w:tcMar>
          </w:tcPr>
          <w:p>
            <w:r>
              <w:rPr>
                <w:b w:val="false"/>
                <w:bCs w:val="false"/>
              </w:rPr>
              <w:t xml:space="preserve">Founder creates the tenant and processes the submitted files using the internal admin tool: catalog upload + cleanup, customer list upload, sample PO upload (see “Founder-operated setup” above)</w:t>
            </w:r>
          </w:p>
        </w:tc>
        <w:tc>
          <w:tcPr>
            <w:tcW w:type="dxa" w:w="1800"/>
            <w:tcMar>
              <w:top w:type="dxa" w:w="100"/>
              <w:left w:type="dxa" w:w="120"/>
              <w:bottom w:type="dxa" w:w="100"/>
              <w:right w:type="dxa" w:w="120"/>
            </w:tcMar>
          </w:tcPr>
          <w:p>
            <w:r>
              <w:rPr>
                <w:b w:val="false"/>
                <w:bCs w:val="false"/>
              </w:rPr>
              <w:t xml:space="preserve">Founder, internal admin tool</w:t>
            </w:r>
          </w:p>
        </w:tc>
      </w:tr>
      <w:tr>
        <w:tc>
          <w:tcPr>
            <w:tcW w:type="dxa" w:w="2400"/>
            <w:tcMar>
              <w:top w:type="dxa" w:w="100"/>
              <w:left w:type="dxa" w:w="120"/>
              <w:bottom w:type="dxa" w:w="100"/>
              <w:right w:type="dxa" w:w="120"/>
            </w:tcMar>
          </w:tcPr>
          <w:p>
            <w:r>
              <w:rPr>
                <w:b w:val="false"/>
                <w:bCs w:val="false"/>
              </w:rPr>
              <w:t xml:space="preserve">Day 1–2</w:t>
            </w:r>
          </w:p>
        </w:tc>
        <w:tc>
          <w:tcPr>
            <w:tcW w:type="dxa" w:w="5600"/>
            <w:tcMar>
              <w:top w:type="dxa" w:w="100"/>
              <w:left w:type="dxa" w:w="120"/>
              <w:bottom w:type="dxa" w:w="100"/>
              <w:right w:type="dxa" w:w="120"/>
            </w:tcMar>
          </w:tcPr>
          <w:p>
            <w:r>
              <w:rPr>
                <w:b w:val="false"/>
                <w:bCs w:val="false"/>
              </w:rPr>
              <w:t xml:space="preserve">Tool runs test extraction against the sample POs; founder reviews results in the standard review UI, buyer records created and merged, tool marks the test batch complete</w:t>
            </w:r>
          </w:p>
        </w:tc>
        <w:tc>
          <w:tcPr>
            <w:tcW w:type="dxa" w:w="1800"/>
            <w:tcMar>
              <w:top w:type="dxa" w:w="100"/>
              <w:left w:type="dxa" w:w="120"/>
              <w:bottom w:type="dxa" w:w="100"/>
              <w:right w:type="dxa" w:w="120"/>
            </w:tcMar>
          </w:tcPr>
          <w:p>
            <w:r>
              <w:rPr>
                <w:b w:val="false"/>
                <w:bCs w:val="false"/>
              </w:rPr>
              <w:t xml:space="preserve">Founder, internal admin tool</w:t>
            </w:r>
          </w:p>
        </w:tc>
      </w:tr>
      <w:tr>
        <w:tc>
          <w:tcPr>
            <w:tcW w:type="dxa" w:w="2400"/>
            <w:tcMar>
              <w:top w:type="dxa" w:w="100"/>
              <w:left w:type="dxa" w:w="120"/>
              <w:bottom w:type="dxa" w:w="100"/>
              <w:right w:type="dxa" w:w="120"/>
            </w:tcMar>
          </w:tcPr>
          <w:p>
            <w:r>
              <w:rPr>
                <w:b w:val="false"/>
                <w:bCs w:val="false"/>
              </w:rPr>
              <w:t xml:space="preserve">Day 2–3</w:t>
            </w:r>
          </w:p>
        </w:tc>
        <w:tc>
          <w:tcPr>
            <w:tcW w:type="dxa" w:w="5600"/>
            <w:tcMar>
              <w:top w:type="dxa" w:w="100"/>
              <w:left w:type="dxa" w:w="120"/>
              <w:bottom w:type="dxa" w:w="100"/>
              <w:right w:type="dxa" w:w="120"/>
            </w:tcMar>
          </w:tcPr>
          <w:p>
            <w:r>
              <w:rPr>
                <w:b w:val="false"/>
                <w:bCs w:val="false"/>
              </w:rPr>
              <w:t xml:space="preserve">Kickoff call, 20–30 min — covers only what the tool and the data can't: order process, edge cases, timeline and scope expectations</w:t>
            </w:r>
          </w:p>
        </w:tc>
        <w:tc>
          <w:tcPr>
            <w:tcW w:type="dxa" w:w="1800"/>
            <w:tcMar>
              <w:top w:type="dxa" w:w="100"/>
              <w:left w:type="dxa" w:w="120"/>
              <w:bottom w:type="dxa" w:w="100"/>
              <w:right w:type="dxa" w:w="120"/>
            </w:tcMar>
          </w:tcPr>
          <w:p>
            <w:r>
              <w:rPr>
                <w:b w:val="false"/>
                <w:bCs w:val="false"/>
              </w:rPr>
              <w:t xml:space="preserve">Founder, live (short)</w:t>
            </w:r>
          </w:p>
        </w:tc>
      </w:tr>
      <w:tr>
        <w:tc>
          <w:tcPr>
            <w:tcW w:type="dxa" w:w="2400"/>
            <w:tcMar>
              <w:top w:type="dxa" w:w="100"/>
              <w:left w:type="dxa" w:w="120"/>
              <w:bottom w:type="dxa" w:w="100"/>
              <w:right w:type="dxa" w:w="120"/>
            </w:tcMar>
          </w:tcPr>
          <w:p>
            <w:r>
              <w:rPr>
                <w:b w:val="false"/>
                <w:bCs w:val="false"/>
              </w:rPr>
              <w:t xml:space="preserve">Day 3–4</w:t>
            </w:r>
          </w:p>
        </w:tc>
        <w:tc>
          <w:tcPr>
            <w:tcW w:type="dxa" w:w="5600"/>
            <w:tcMar>
              <w:top w:type="dxa" w:w="100"/>
              <w:left w:type="dxa" w:w="120"/>
              <w:bottom w:type="dxa" w:w="100"/>
              <w:right w:type="dxa" w:w="120"/>
            </w:tcMar>
          </w:tcPr>
          <w:p>
            <w:r>
              <w:rPr>
                <w:b w:val="false"/>
                <w:bCs w:val="false"/>
              </w:rPr>
              <w:t xml:space="preserve">Short review call — shows working output on their own documents, not open-ended troubleshooting</w:t>
            </w:r>
          </w:p>
        </w:tc>
        <w:tc>
          <w:tcPr>
            <w:tcW w:type="dxa" w:w="1800"/>
            <w:tcMar>
              <w:top w:type="dxa" w:w="100"/>
              <w:left w:type="dxa" w:w="120"/>
              <w:bottom w:type="dxa" w:w="100"/>
              <w:right w:type="dxa" w:w="120"/>
            </w:tcMar>
          </w:tcPr>
          <w:p>
            <w:r>
              <w:rPr>
                <w:b w:val="false"/>
                <w:bCs w:val="false"/>
              </w:rPr>
              <w:t xml:space="preserve">Founder, live (short)</w:t>
            </w:r>
          </w:p>
        </w:tc>
      </w:tr>
      <w:tr>
        <w:tc>
          <w:tcPr>
            <w:tcW w:type="dxa" w:w="2400"/>
            <w:tcMar>
              <w:top w:type="dxa" w:w="100"/>
              <w:left w:type="dxa" w:w="120"/>
              <w:bottom w:type="dxa" w:w="100"/>
              <w:right w:type="dxa" w:w="120"/>
            </w:tcMar>
          </w:tcPr>
          <w:p>
            <w:r>
              <w:rPr>
                <w:b w:val="false"/>
                <w:bCs w:val="false"/>
              </w:rPr>
              <w:t xml:space="preserve">Day 4</w:t>
            </w:r>
          </w:p>
        </w:tc>
        <w:tc>
          <w:tcPr>
            <w:tcW w:type="dxa" w:w="5600"/>
            <w:tcMar>
              <w:top w:type="dxa" w:w="100"/>
              <w:left w:type="dxa" w:w="120"/>
              <w:bottom w:type="dxa" w:w="100"/>
              <w:right w:type="dxa" w:w="120"/>
            </w:tcMar>
          </w:tcPr>
          <w:p>
            <w:r>
              <w:rPr>
                <w:b w:val="false"/>
                <w:bCs w:val="false"/>
              </w:rPr>
              <w:t xml:space="preserve">Go live — intake email activated for production mail, go-live checklist and recorded walkthrough video sent, login invite sent if not already</w:t>
            </w:r>
          </w:p>
        </w:tc>
        <w:tc>
          <w:tcPr>
            <w:tcW w:type="dxa" w:w="1800"/>
            <w:tcMar>
              <w:top w:type="dxa" w:w="100"/>
              <w:left w:type="dxa" w:w="120"/>
              <w:bottom w:type="dxa" w:w="100"/>
              <w:right w:type="dxa" w:w="120"/>
            </w:tcMar>
          </w:tcPr>
          <w:p>
            <w:r>
              <w:rPr>
                <w:b w:val="false"/>
                <w:bCs w:val="false"/>
              </w:rPr>
              <w:t xml:space="preserve">Automated + async</w:t>
            </w:r>
          </w:p>
        </w:tc>
      </w:tr>
      <w:tr>
        <w:tc>
          <w:tcPr>
            <w:tcW w:type="dxa" w:w="2400"/>
            <w:tcMar>
              <w:top w:type="dxa" w:w="100"/>
              <w:left w:type="dxa" w:w="120"/>
              <w:bottom w:type="dxa" w:w="100"/>
              <w:right w:type="dxa" w:w="120"/>
            </w:tcMar>
          </w:tcPr>
          <w:p>
            <w:r>
              <w:rPr>
                <w:b w:val="false"/>
                <w:bCs w:val="false"/>
              </w:rPr>
              <w:t xml:space="preserve">Day 4–18</w:t>
            </w:r>
          </w:p>
        </w:tc>
        <w:tc>
          <w:tcPr>
            <w:tcW w:type="dxa" w:w="5600"/>
            <w:tcMar>
              <w:top w:type="dxa" w:w="100"/>
              <w:left w:type="dxa" w:w="120"/>
              <w:bottom w:type="dxa" w:w="100"/>
              <w:right w:type="dxa" w:w="120"/>
            </w:tcMar>
          </w:tcPr>
          <w:p>
            <w:r>
              <w:rPr>
                <w:b w:val="false"/>
                <w:bCs w:val="false"/>
              </w:rPr>
              <w:t xml:space="preserve">Automated first-week check-in; founder responds only to flagged exceptions</w:t>
            </w:r>
          </w:p>
        </w:tc>
        <w:tc>
          <w:tcPr>
            <w:tcW w:type="dxa" w:w="1800"/>
            <w:tcMar>
              <w:top w:type="dxa" w:w="100"/>
              <w:left w:type="dxa" w:w="120"/>
              <w:bottom w:type="dxa" w:w="100"/>
              <w:right w:type="dxa" w:w="120"/>
            </w:tcMar>
          </w:tcPr>
          <w:p>
            <w:r>
              <w:rPr>
                <w:b w:val="false"/>
                <w:bCs w:val="false"/>
              </w:rPr>
              <w:t xml:space="preserve">Mostly automated</w:t>
            </w:r>
          </w:p>
        </w:tc>
      </w:tr>
    </w:tbl>
    <w:p>
      <w:pPr>
        <w:spacing w:after="200" w:before="200"/>
      </w:pPr>
      <w:r>
        <w:rPr>
          <w:i/>
          <w:iCs/>
        </w:rPr>
        <w:t xml:space="preserve">Open item: these day estimates assume the internal admin tool exists and works as described. Until it's built and used on a few real tenants, keep quoting the 5–10 business day range from the Pricing document rather than the compressed days shown here.</w:t>
      </w:r>
    </w:p>
    <w:p>
      <w:pPr>
        <w:pStyle w:val="Heading1"/>
        <w:spacing w:after="160" w:before="320"/>
      </w:pPr>
      <w:r>
        <w:t xml:space="preserve">What's included in the setup fee</w:t>
      </w:r>
    </w:p>
    <w:p>
      <w:pPr>
        <w:pStyle w:val="ListParagraph"/>
        <w:numPr>
          <w:ilvl w:val="0"/>
          <w:numId w:val="2"/>
        </w:numPr>
        <w:spacing w:after="120"/>
      </w:pPr>
      <w:r>
        <w:t xml:space="preserve">Tenant creation and data setup via the internal admin tool (catalog, customer list, sample POs) — done by the founder, not the customer</w:t>
      </w:r>
    </w:p>
    <w:p>
      <w:pPr>
        <w:pStyle w:val="ListParagraph"/>
        <w:numPr>
          <w:ilvl w:val="0"/>
          <w:numId w:val="2"/>
        </w:numPr>
        <w:spacing w:after="120"/>
      </w:pPr>
      <w:r>
        <w:t xml:space="preserve">Kickoff call</w:t>
      </w:r>
    </w:p>
    <w:p>
      <w:pPr>
        <w:pStyle w:val="ListParagraph"/>
        <w:numPr>
          <w:ilvl w:val="0"/>
          <w:numId w:val="2"/>
        </w:numPr>
        <w:spacing w:after="120"/>
      </w:pPr>
      <w:r>
        <w:t xml:space="preserve">Catalog upload and cleaning</w:t>
      </w:r>
    </w:p>
    <w:p>
      <w:pPr>
        <w:pStyle w:val="ListParagraph"/>
        <w:numPr>
          <w:ilvl w:val="0"/>
          <w:numId w:val="2"/>
        </w:numPr>
        <w:spacing w:after="120"/>
      </w:pPr>
      <w:r>
        <w:t xml:space="preserve">Customer list upload and mapping, if provided</w:t>
      </w:r>
    </w:p>
    <w:p>
      <w:pPr>
        <w:pStyle w:val="ListParagraph"/>
        <w:numPr>
          <w:ilvl w:val="0"/>
          <w:numId w:val="2"/>
        </w:numPr>
        <w:spacing w:after="120"/>
      </w:pPr>
      <w:r>
        <w:t xml:space="preserve">Configuration of the unique inbound intake email address</w:t>
      </w:r>
    </w:p>
    <w:p>
      <w:pPr>
        <w:pStyle w:val="ListParagraph"/>
        <w:numPr>
          <w:ilvl w:val="0"/>
          <w:numId w:val="2"/>
        </w:numPr>
        <w:spacing w:after="120"/>
      </w:pPr>
      <w:r>
        <w:t xml:space="preserve">Testing against 5–10 real recent POs</w:t>
      </w:r>
    </w:p>
    <w:p>
      <w:pPr>
        <w:pStyle w:val="ListParagraph"/>
        <w:numPr>
          <w:ilvl w:val="0"/>
          <w:numId w:val="2"/>
        </w:numPr>
        <w:spacing w:after="120"/>
      </w:pPr>
      <w:r>
        <w:t xml:space="preserve">Initial mapping of common buyer formats</w:t>
      </w:r>
    </w:p>
    <w:p>
      <w:pPr>
        <w:pStyle w:val="ListParagraph"/>
        <w:numPr>
          <w:ilvl w:val="0"/>
          <w:numId w:val="2"/>
        </w:numPr>
        <w:spacing w:after="120"/>
      </w:pPr>
      <w:r>
        <w:t xml:space="preserve">Recorded walkthrough (review UI + export process) in place of a repeated live training session</w:t>
      </w:r>
    </w:p>
    <w:p>
      <w:pPr>
        <w:pStyle w:val="ListParagraph"/>
        <w:numPr>
          <w:ilvl w:val="0"/>
          <w:numId w:val="2"/>
        </w:numPr>
        <w:spacing w:after="120"/>
      </w:pPr>
      <w:r>
        <w:t xml:space="preserve">Go-live checklist and first-week check-in</w:t>
      </w:r>
    </w:p>
    <w:p>
      <w:pPr>
        <w:pStyle w:val="ListParagraph"/>
        <w:numPr>
          <w:ilvl w:val="0"/>
          <w:numId w:val="2"/>
        </w:numPr>
        <w:spacing w:after="120"/>
      </w:pPr>
      <w:r>
        <w:t xml:space="preserve">Basic documentation tailored to their workflow</w:t>
      </w:r>
    </w:p>
    <w:p>
      <w:pPr>
        <w:spacing w:after="200"/>
      </w:pPr>
      <w:r>
        <w:t xml:space="preserve">Typical timeline: 5–10 business days. See the Pricing document for setup fee amounts by tier.</w:t>
      </w:r>
    </w:p>
    <w:p>
      <w:pPr>
        <w:pStyle w:val="Heading1"/>
        <w:spacing w:after="160" w:before="320"/>
      </w:pPr>
      <w:r>
        <w:t xml:space="preserve">What's explicitly not included — state this at kickoff</w:t>
      </w:r>
    </w:p>
    <w:p>
      <w:pPr>
        <w:pStyle w:val="ListParagraph"/>
        <w:numPr>
          <w:ilvl w:val="0"/>
          <w:numId w:val="2"/>
        </w:numPr>
        <w:spacing w:after="120"/>
      </w:pPr>
      <w:r>
        <w:t xml:space="preserve">Ongoing catalog maintenance after go-live</w:t>
      </w:r>
    </w:p>
    <w:p>
      <w:pPr>
        <w:pStyle w:val="ListParagraph"/>
        <w:numPr>
          <w:ilvl w:val="0"/>
          <w:numId w:val="2"/>
        </w:numPr>
        <w:spacing w:after="120"/>
      </w:pPr>
      <w:r>
        <w:t xml:space="preserve">Custom ERP or API integration work</w:t>
      </w:r>
    </w:p>
    <w:p>
      <w:pPr>
        <w:pStyle w:val="ListParagraph"/>
        <w:numPr>
          <w:ilvl w:val="0"/>
          <w:numId w:val="2"/>
        </w:numPr>
        <w:spacing w:after="120"/>
      </w:pPr>
      <w:r>
        <w:t xml:space="preserve">Processing historical archives beyond the initial test set</w:t>
      </w:r>
    </w:p>
    <w:p>
      <w:pPr>
        <w:pStyle w:val="ListParagraph"/>
        <w:numPr>
          <w:ilvl w:val="0"/>
          <w:numId w:val="2"/>
        </w:numPr>
        <w:spacing w:after="120"/>
      </w:pPr>
      <w:r>
        <w:t xml:space="preserve">Custom development work</w:t>
      </w:r>
    </w:p>
    <w:p>
      <w:pPr>
        <w:spacing w:after="200"/>
      </w:pPr>
      <w:r>
        <w:t xml:space="preserve">Stating this plainly and early, not defensively, prevents the highest-pressure early weeks from quietly expanding into unpaid scope.</w:t>
      </w:r>
    </w:p>
    <w:p>
      <w:pPr>
        <w:pStyle w:val="Heading1"/>
        <w:spacing w:after="160" w:before="320"/>
      </w:pPr>
      <w:r>
        <w:t xml:space="preserve">Systems to build once, reuse every time</w:t>
      </w:r>
    </w:p>
    <w:p>
      <w:pPr>
        <w:pStyle w:val="ListParagraph"/>
        <w:numPr>
          <w:ilvl w:val="0"/>
          <w:numId w:val="2"/>
        </w:numPr>
        <w:spacing w:after="120"/>
      </w:pPr>
      <w:r>
        <w:t xml:space="preserve">Internal admin/setup tool (tenant creation, catalog / customer-list / sample-PO upload, test-batch review) — founder-operated, not customer-facing; replaces manual per-customer setup without building a public onboarding wizard</w:t>
      </w:r>
    </w:p>
    <w:p>
      <w:pPr>
        <w:pStyle w:val="ListParagraph"/>
        <w:numPr>
          <w:ilvl w:val="0"/>
          <w:numId w:val="2"/>
        </w:numPr>
        <w:spacing w:after="120"/>
      </w:pPr>
      <w:r>
        <w:t xml:space="preserve">Pre-kickoff async intake form or email process for collecting the customer's catalog, customer list, and sample POs</w:t>
      </w:r>
    </w:p>
    <w:p>
      <w:pPr>
        <w:pStyle w:val="ListParagraph"/>
        <w:numPr>
          <w:ilvl w:val="0"/>
          <w:numId w:val="2"/>
        </w:numPr>
        <w:spacing w:after="120"/>
      </w:pPr>
      <w:r>
        <w:t xml:space="preserve">Vertical-specific schema templates, reused and refined after the first customer in each vertical</w:t>
      </w:r>
    </w:p>
    <w:p>
      <w:pPr>
        <w:pStyle w:val="ListParagraph"/>
        <w:numPr>
          <w:ilvl w:val="0"/>
          <w:numId w:val="2"/>
        </w:numPr>
        <w:spacing w:after="120"/>
      </w:pPr>
      <w:r>
        <w:t xml:space="preserve">A written internal checklist for the founder's own steps (this document)</w:t>
      </w:r>
    </w:p>
    <w:p>
      <w:pPr>
        <w:pStyle w:val="ListParagraph"/>
        <w:numPr>
          <w:ilvl w:val="0"/>
          <w:numId w:val="2"/>
        </w:numPr>
        <w:spacing w:after="120"/>
      </w:pPr>
      <w:r>
        <w:t xml:space="preserve">One recorded walkthrough video for training, re-recorded only when the UI changes</w:t>
      </w:r>
    </w:p>
    <w:p>
      <w:pPr>
        <w:pStyle w:val="ListParagraph"/>
        <w:numPr>
          <w:ilvl w:val="0"/>
          <w:numId w:val="2"/>
        </w:numPr>
        <w:spacing w:after="120"/>
      </w:pPr>
      <w:r>
        <w:t xml:space="preserve">Automated first-week check-in — a scheduled nudge, not ad hoc pinging</w:t>
      </w:r>
    </w:p>
    <w:p>
      <w:pPr>
        <w:pStyle w:val="ListParagraph"/>
        <w:numPr>
          <w:ilvl w:val="0"/>
          <w:numId w:val="2"/>
        </w:numPr>
        <w:spacing w:after="120"/>
      </w:pPr>
      <w:r>
        <w:t xml:space="preserve">A short FAQ for common early questions (what confidence scores mean, how to flag a wrong extraction)</w:t>
      </w:r>
    </w:p>
    <w:p>
      <w:pPr>
        <w:pStyle w:val="Heading1"/>
        <w:spacing w:after="160" w:before="320"/>
      </w:pPr>
      <w:r>
        <w:t xml:space="preserve">Go-live checklist</w:t>
      </w:r>
    </w:p>
    <w:p>
      <w:pPr>
        <w:pStyle w:val="ListParagraph"/>
        <w:numPr>
          <w:ilvl w:val="0"/>
          <w:numId w:val="2"/>
        </w:numPr>
        <w:spacing w:after="120"/>
      </w:pPr>
      <w:r>
        <w:t xml:space="preserve">Tenant created and founder-operated setup completed via the internal admin tool (catalog, customer list if provided, and sample POs uploaded)</w:t>
      </w:r>
    </w:p>
    <w:p>
      <w:pPr>
        <w:pStyle w:val="ListParagraph"/>
        <w:numPr>
          <w:ilvl w:val="0"/>
          <w:numId w:val="2"/>
        </w:numPr>
        <w:spacing w:after="120"/>
      </w:pPr>
      <w:r>
        <w:t xml:space="preserve">Catalog uploaded and cleaned — no blank or duplicate SKUs</w:t>
      </w:r>
    </w:p>
    <w:p>
      <w:pPr>
        <w:pStyle w:val="ListParagraph"/>
        <w:numPr>
          <w:ilvl w:val="0"/>
          <w:numId w:val="2"/>
        </w:numPr>
        <w:spacing w:after="120"/>
      </w:pPr>
      <w:r>
        <w:t xml:space="preserve">Test batch of 5–10 POs processed and reviewed</w:t>
      </w:r>
    </w:p>
    <w:p>
      <w:pPr>
        <w:pStyle w:val="ListParagraph"/>
        <w:numPr>
          <w:ilvl w:val="0"/>
          <w:numId w:val="2"/>
        </w:numPr>
        <w:spacing w:after="120"/>
      </w:pPr>
      <w:r>
        <w:t xml:space="preserve">Intake email address configured and tested</w:t>
      </w:r>
    </w:p>
    <w:p>
      <w:pPr>
        <w:pStyle w:val="ListParagraph"/>
        <w:numPr>
          <w:ilvl w:val="0"/>
          <w:numId w:val="2"/>
        </w:numPr>
        <w:spacing w:after="120"/>
      </w:pPr>
      <w:r>
        <w:t xml:space="preserve">Buyer records created and merged from the test batch</w:t>
      </w:r>
    </w:p>
    <w:p>
      <w:pPr>
        <w:pStyle w:val="ListParagraph"/>
        <w:numPr>
          <w:ilvl w:val="0"/>
          <w:numId w:val="2"/>
        </w:numPr>
        <w:spacing w:after="120"/>
      </w:pPr>
      <w:r>
        <w:t xml:space="preserve">Export format confirmed with the customer (CSV, Excel, JSON, or IIF)</w:t>
      </w:r>
    </w:p>
    <w:p>
      <w:pPr>
        <w:pStyle w:val="ListParagraph"/>
        <w:numPr>
          <w:ilvl w:val="0"/>
          <w:numId w:val="2"/>
        </w:numPr>
        <w:spacing w:after="120"/>
      </w:pPr>
      <w:r>
        <w:t xml:space="preserve">Recorded walkthrough sent</w:t>
      </w:r>
    </w:p>
    <w:p>
      <w:pPr>
        <w:pStyle w:val="ListParagraph"/>
        <w:numPr>
          <w:ilvl w:val="0"/>
          <w:numId w:val="2"/>
        </w:numPr>
        <w:spacing w:after="120"/>
      </w:pPr>
      <w:r>
        <w:t xml:space="preserve">First-week check-in scheduled</w:t>
      </w:r>
    </w:p>
    <w:p>
      <w:pPr>
        <w:pStyle w:val="ListParagraph"/>
        <w:numPr>
          <w:ilvl w:val="0"/>
          <w:numId w:val="2"/>
        </w:numPr>
        <w:spacing w:after="120"/>
      </w:pPr>
      <w:r>
        <w:t xml:space="preserve">Setup-fee scope boundaries communicated</w:t>
      </w:r>
    </w:p>
    <w:p>
      <w:pPr>
        <w:spacing w:before="240"/>
      </w:pPr>
      <w:r>
        <w:rPr>
          <w:i/>
          <w:iCs/>
        </w:rPr>
        <w:t xml:space="preserve">Open item: a prospect with no formal SKU catalog at all doesn't fit the current matching model. Decide whether this is a hard disqualifier at the prequalification stage (see the Marketing Strategy document) or worth a lighter-weight fallback later.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863"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2026-09-16T13:25:29.687Z</dcterms:created>
  <dcterms:modified xsi:type="dcterms:W3CDTF">2026-09-16T13:25:29.696Z</dcterms:modified>
</cp:coreProperties>
</file>

<file path=docProps/custom.xml><?xml version="1.0" encoding="utf-8"?>
<Properties xmlns="http://schemas.openxmlformats.org/officeDocument/2006/custom-properties" xmlns:vt="http://schemas.openxmlformats.org/officeDocument/2006/docPropsVTypes"/>
</file>