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DocFlow — Pricing &amp; Packaging</w:t>
      </w:r>
    </w:p>
    <w:p>
      <w:pPr>
        <w:pBdr>
          <w:bottom w:val="single" w:color="0F6E56" w:sz="6" w:space="8"/>
        </w:pBdr>
        <w:spacing w:after="120"/>
      </w:pPr>
      <w:r>
        <w:rPr>
          <w:i/>
          <w:iCs/>
          <w:color w:val="666666"/>
        </w:rPr>
        <w:t xml:space="preserve">Internal reference · Version 1 · September 2026</w:t>
      </w:r>
    </w:p>
    <w:p>
      <w:pPr>
        <w:spacing w:after="120"/>
      </w:pPr>
    </w:p>
    <w:p>
      <w:pPr>
        <w:pStyle w:val="Heading1"/>
        <w:spacing w:after="140" w:before="280"/>
      </w:pPr>
      <w:r>
        <w:t xml:space="preserve">Monthly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0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Price / month</w:t>
            </w:r>
          </w:p>
        </w:tc>
        <w:tc>
          <w:tcPr>
            <w:tcW w:type="dxa" w:w="536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Starter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$299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Entry point, lower-volume customers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Growth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$399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Main recommended plan for a typical customer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Scale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$599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Higher-volume or multi-location customers</w:t>
            </w:r>
          </w:p>
        </w:tc>
      </w:tr>
    </w:tbl>
    <w:p>
      <w:pPr>
        <w:pStyle w:val="Heading1"/>
        <w:spacing w:after="140" w:before="280"/>
      </w:pPr>
      <w:r>
        <w:t xml:space="preserve">Founding customer promo (first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312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Promo price</w:t>
            </w:r>
          </w:p>
        </w:tc>
        <w:tc>
          <w:tcPr>
            <w:tcW w:type="dxa" w:w="312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Reverts to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Starter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$199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$299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Growth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$249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$399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Scale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$349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$599</w:t>
            </w:r>
          </w:p>
        </w:tc>
      </w:tr>
    </w:tbl>
    <w:p>
      <w:pPr>
        <w:pStyle w:val="Heading1"/>
        <w:spacing w:after="140" w:before="280"/>
      </w:pPr>
      <w:r>
        <w:t xml:space="preserve">One-time setup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00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  <w:tc>
          <w:tcPr>
            <w:tcW w:type="dxa" w:w="486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When it applies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Founding customer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$750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Early-adopter discount, first cohort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Standard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$1,500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Typical new customer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Complex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$2,000–$2,500</w:t>
            </w:r>
          </w:p>
        </w:tc>
        <w:tc>
          <w:tcPr>
            <w:tcW w:type="dxa" w:w="4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Large or messy catalog, multiple entities/locations, heavy export customization, significant historical cleanup, or multiple training sessions</w:t>
            </w:r>
          </w:p>
        </w:tc>
      </w:tr>
    </w:tbl>
    <w:p>
      <w:pPr>
        <w:pStyle w:val="Heading1"/>
        <w:spacing w:after="140" w:before="280"/>
      </w:pPr>
      <w:r>
        <w:t xml:space="preserve">What the setup fee covers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Kickoff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Catalog upload and cleaning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list upload and mapping, if provided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 of the unique inbound intake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against 5–10 real recent POs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mapping of common buyer formats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walkthrough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Go-live checklist and first-week check-in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documentation tailored to their workflow</w:t>
      </w:r>
    </w:p>
    <w:p>
      <w:pPr>
        <w:pStyle w:val="Heading1"/>
        <w:spacing w:after="140" w:before="280"/>
      </w:pPr>
      <w:r>
        <w:t xml:space="preserve">What it doesn't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 catalog maintenance after go-live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ERP or API integration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Processing historical archives beyond the initial test 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development work</w:t>
      </w:r>
    </w:p>
    <w:p>
      <w:pPr>
        <w:pStyle w:val="Heading1"/>
        <w:spacing w:after="140" w:before="280"/>
      </w:pPr>
      <w:r>
        <w:t xml:space="preserve">Pricing rationale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Rule of thumb used to sanity-check pricing: charge roughly 15–30% of the customer's current monthly labor and error cost. For the target profile — one order-entry person spending 15–25 hours per month at a fully loaded $30–$45/hour — that's $450–$1,100 per month in direct labor alone, before error-related costs such as wrong shipments, returns, and chargebacks. This places the $400–$700/month range comfortably inside what a customer should already recognize as a fair trade.</w:t>
      </w:r>
    </w:p>
    <w:p>
      <w:pPr>
        <w:pStyle w:val="Heading1"/>
        <w:spacing w:after="140" w:before="280"/>
      </w:pPr>
      <w:r>
        <w:t xml:space="preserve">Open question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Pricing is not yet validated against real conversations. Treat the first 10–15 sales conversations as pricing research as much as sales calls, and update this document with what's actually confirmed.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2026-09-16T02:12:01.650Z</dcterms:created>
  <dcterms:modified xsi:type="dcterms:W3CDTF">2026-09-16T02:12:01.650Z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