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Core Operational Processes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spacing w:after="160"/>
      </w:pPr>
      <w:r>
        <w:rPr>
          <w:b w:val="false"/>
          <w:bCs w:val="false"/>
          <w:i/>
          <w:iCs/>
        </w:rPr>
        <w:t xml:space="preserve">Customer-facing onboarding has its own document (Onboarding Process), and offboarding has its own document (Offboarding Process). This document covers the internal, system-level processes the product runs once a tenant is live.</w:t>
      </w:r>
    </w:p>
    <w:p>
      <w:pPr>
        <w:pStyle w:val="Heading1"/>
        <w:spacing w:after="140" w:before="280"/>
      </w:pPr>
      <w:r>
        <w:t xml:space="preserve">1. Document lifecycle process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incoming document moves through a fixed set of statuses: pending → processing → needs_review → approved / rejected → exported. A document enters at pending the moment it's received (email or upload), moves to processing while extraction runs, and lands in needs_review unless it fails outright.</w:t>
      </w:r>
    </w:p>
    <w:p>
      <w:pPr>
        <w:pStyle w:val="Heading1"/>
        <w:spacing w:after="140" w:before="280"/>
      </w:pPr>
      <w:r>
        <w:t xml:space="preserve">2. Review &amp; correction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opens a document and sees the original alongside the extracted header and line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indicators highlight anything uncertain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corrects any field directly, or searches the catalog to fix a SKU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approves, rejects, or marks needs-attention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under 2 minutes per document</w:t>
      </w:r>
    </w:p>
    <w:p>
      <w:pPr>
        <w:pStyle w:val="Heading1"/>
        <w:spacing w:after="140" w:before="280"/>
      </w:pPr>
      <w:r>
        <w:t xml:space="preserve">3. Learning / mapping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reviewer corrects a SKU match, the correction is saved as a customer_item_mapping tied to that specific buyer and the exact wording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every future document from that buyer, the raw description is checked against stored mappings first, before general fuzzy matching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hit on a learned mapping raises match confidence sharply (treated as near-certain)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mechanism that makes per-customer accuracy compound over time with no extra customer effort</w:t>
      </w:r>
    </w:p>
    <w:p>
      <w:pPr>
        <w:pStyle w:val="Heading1"/>
        <w:spacing w:after="140" w:before="280"/>
      </w:pPr>
      <w:r>
        <w:t xml:space="preserve">4. Duplicate &amp; change-order process</w:t>
      </w:r>
    </w:p>
    <w:p>
      <w:pPr>
        <w:pStyle w:val="Heading2"/>
        <w:spacing w:after="100" w:before="200"/>
      </w:pPr>
      <w:r>
        <w:t xml:space="preserve">Duplicate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every new document, after header extraction, check for an existing document with the same tenant and PO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exact PO-number match is flagged “possible duplicate” and shown side-by-side with the earlier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chooses: reject as duplicate, accept as new, or mark as change order</w:t>
      </w:r>
    </w:p>
    <w:p>
      <w:pPr>
        <w:pStyle w:val="Heading2"/>
        <w:spacing w:after="100" w:before="200"/>
      </w:pPr>
      <w:r>
        <w:t xml:space="preserve">Change-order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PO number already exists but quantities, lines, or dates differ, flag as “possible change order”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UI shows a simple diff of added, removed, and changed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chooses: treat as a brand-new order, treat as a replacement, or ignore the warning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relationship between the two documents is logged for audit either way</w:t>
      </w:r>
    </w:p>
    <w:p>
      <w:pPr>
        <w:pStyle w:val="Heading1"/>
        <w:spacing w:after="140" w:before="280"/>
      </w:pPr>
      <w:r>
        <w:t xml:space="preserve">5. Notification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channel: email. Slack/Teams webhook is a later addition, not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Events: new document needs review; daily digest of open exceptions; document approved/exported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Frequency and event selection are configurable per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avoids spamming — a simple notification table plus a background sender is sufficient at MVP scale</w:t>
      </w:r>
    </w:p>
    <w:p>
      <w:pPr>
        <w:pStyle w:val="Heading1"/>
        <w:spacing w:after="140" w:before="280"/>
      </w:pPr>
      <w:r>
        <w:t xml:space="preserve">6. Exception &amp; difficult-document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Password-protected file: clear error message with instructions, not a silent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Unreadable scan: low confidence score plus “needs review” with an explanatory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POs in one file: detect and split where possible, otherwise flag for manual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large files: queue with a visible progress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Guiding rule: always prefer graceful degradation over silent failure</w:t>
      </w:r>
    </w:p>
    <w:p>
      <w:pPr>
        <w:pStyle w:val="Heading1"/>
        <w:spacing w:after="140" w:before="280"/>
      </w:pPr>
      <w:r>
        <w:t xml:space="preserve">7. Operational safeguards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cost circuit breaker, so one tenant cannot generate runaway AI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on LLM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Dead-letter queue for documents that fail permanently after retries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monitoring of confidence distribution and needs-review rate, to catch quality drift early</w:t>
      </w:r>
    </w:p>
    <w:p>
      <w:pPr>
        <w:pStyle w:val="Heading1"/>
        <w:spacing w:after="140" w:before="280"/>
      </w:pPr>
      <w:r>
        <w:t xml:space="preserve">8. Tenant lifecycle &amp; offboarding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customer-facing mechanics and the founder's step-by-step playbook live in the Offboarding Process document. This section covers only the internal state machine that underlies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States: active → cancelling → suspended → pending_deletion → deleted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suspended or pending_deletion tenant keeps full read and export access — only new document intake and billing are stopped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Reactivation returns a tenant to active at any point before deletion, with no loss of catalog, buyer data, or learned mappings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Deletion is never automatic. It requires explicit, per-tenant founder confirmation and is recorded in an immutable lifecycle event log that survives the tenant's own deletion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2026-09-16T03:08:55.672Z</dcterms:created>
  <dcterms:modified xsi:type="dcterms:W3CDTF">2026-09-16T03:08:55.672Z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