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DocFlow — Requirements Document</w:t>
      </w:r>
    </w:p>
    <w:p>
      <w:pPr>
        <w:pBdr>
          <w:bottom w:val="single" w:color="0F6E56" w:sz="6" w:space="8"/>
        </w:pBdr>
        <w:spacing w:after="120"/>
      </w:pPr>
      <w:r>
        <w:rPr>
          <w:i/>
          <w:iCs/>
          <w:color w:val="666666"/>
        </w:rPr>
        <w:t xml:space="preserve">Internal reference · Version 1 · September 2026</w:t>
      </w:r>
    </w:p>
    <w:p>
      <w:pPr>
        <w:spacing w:after="120"/>
      </w:pPr>
    </w:p>
    <w:p>
      <w:pPr>
        <w:pStyle w:val="Heading1"/>
        <w:spacing w:after="140" w:before="280"/>
      </w:pPr>
      <w:r>
        <w:t xml:space="preserve">Purpose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Functional and non-functional requirements for the DocFlow MVP, derived from the MVP &amp; Future Feature Roadmap document. This is the reference for “what must the system do” during the build; see the Architecture and Technical documents for how.</w:t>
      </w:r>
    </w:p>
    <w:p>
      <w:pPr>
        <w:pStyle w:val="Heading1"/>
        <w:spacing w:after="140" w:before="280"/>
      </w:pPr>
      <w:r>
        <w:t xml:space="preserve">Functional requirements</w:t>
      </w:r>
    </w:p>
    <w:p>
      <w:pPr>
        <w:pStyle w:val="Heading2"/>
        <w:spacing w:after="100" w:before="200"/>
      </w:pPr>
      <w:r>
        <w:t xml:space="preserve">Intake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accept PO uploads in PDF, Excel, and image/scan formats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provide a dedicated inbound email address per tenant, accepting forwarded or BCC'd mail</w:t>
      </w:r>
    </w:p>
    <w:p>
      <w:pPr>
        <w:pStyle w:val="Heading2"/>
        <w:spacing w:after="100" w:before="200"/>
      </w:pPr>
      <w:r>
        <w:t xml:space="preserve">Extraction &amp; matching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extract header and line-item fields from an incoming document using an LLM against a defined field schema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match extracted line items against the tenant's uploaded item/SKU catalog, exact and fuzzy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apply previously learned buyer-specific description-to-SKU mappings automatically, and increase match confidence when a learned mapping is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produce a confidence score per field and an overall document confidence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apply rule-based validation (totals reconcile, required fields present, quantities greater than zero)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detect likely duplicate POs by tenant and PO number, and flag them for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detect likely change orders (same PO number, changed lines/quantities/dates) and present a simple diff</w:t>
      </w:r>
    </w:p>
    <w:p>
      <w:pPr>
        <w:pStyle w:val="Heading2"/>
        <w:spacing w:after="100" w:before="200"/>
      </w:pPr>
      <w:r>
        <w:t xml:space="preserve">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present extracted data alongside the original document for side-by-side human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allow manual correction of any extracted field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allow a reviewer to approve, reject, or mark a document as needing attention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save any manual SKU correction as a persistent, reusable mapping for that buyer</w:t>
      </w:r>
    </w:p>
    <w:p>
      <w:pPr>
        <w:pStyle w:val="Heading2"/>
        <w:spacing w:after="100" w:before="200"/>
      </w:pPr>
      <w:r>
        <w:t xml:space="preserve">Output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generate export files in CSV, Excel, and JSON, and in IIF format for QuickBooks Desktop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repeat header fields on every line-item row in file exports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never write data directly into a customer's ERP, accounting system, or database</w:t>
      </w:r>
    </w:p>
    <w:p>
      <w:pPr>
        <w:pStyle w:val="Heading2"/>
        <w:spacing w:after="100" w:before="200"/>
      </w:pPr>
      <w:r>
        <w:t xml:space="preserve">Account &amp; operations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support multiple tenants with data fully isolated per tenant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support at minimum the roles owner, admin, and reviewer, enforced at the API level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notify a user by email when a document needs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log key actions (approval, rejection, edit, mapping creation, export) to an audit trail</w:t>
      </w:r>
    </w:p>
    <w:p>
      <w:pPr>
        <w:pStyle w:val="Heading2"/>
        <w:spacing w:after="100" w:before="200"/>
      </w:pPr>
      <w:r>
        <w:t xml:space="preserve">Onboarding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allow upload and cleaning of a tenant's item/SKU catalog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create a buyer (customer) record automatically the first time a new buyer name appears on a processed 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allow an optional upfront customer-list upload if the tenant has one available</w:t>
      </w:r>
    </w:p>
    <w:p>
      <w:pPr>
        <w:pStyle w:val="Heading1"/>
        <w:spacing w:after="140" w:before="280"/>
      </w:pPr>
      <w:r>
        <w:t xml:space="preserve">Non-functional requirements</w:t>
      </w:r>
    </w:p>
    <w:p>
      <w:pPr>
        <w:pStyle w:val="Heading2"/>
        <w:spacing w:after="100" w:before="200"/>
      </w:pPr>
      <w:r>
        <w:t xml:space="preserve">Multi-tenancy &amp; data isolation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tenant-scoped table carries a tenant_id and is protected by row-level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storage paths are tenant-prefixed</w:t>
      </w:r>
    </w:p>
    <w:p>
      <w:pPr>
        <w:pStyle w:val="Heading2"/>
        <w:spacing w:after="100" w:before="200"/>
      </w:pPr>
      <w:r>
        <w:t xml:space="preserve">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reviewer should be able to approve or correct a typical document in under 2 minutes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Extraction should complete within a reasonable time for synchronous UI feedback, or clearly show processing status if queued</w:t>
      </w:r>
    </w:p>
    <w:p>
      <w:pPr>
        <w:pStyle w:val="Heading2"/>
        <w:spacing w:after="100" w:before="200"/>
      </w:pPr>
      <w:r>
        <w:t xml:space="preserve">Reliability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calls retry with exponential backoff on transient failure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Permanently failed documents move to a dead-letter queue rather than disappearing silently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per-tenant cost circuit breaker prevents runaway AI spend from a single tenant</w:t>
      </w:r>
    </w:p>
    <w:p>
      <w:pPr>
        <w:pStyle w:val="Heading2"/>
        <w:spacing w:after="100" w:before="200"/>
      </w:pPr>
      <w:r>
        <w:t xml:space="preserve">Auditability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significant action is attributed to a user and timestamped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Field-level edits are recoverable (before/after) where relevant</w:t>
      </w:r>
    </w:p>
    <w:p>
      <w:pPr>
        <w:pStyle w:val="Heading2"/>
        <w:spacing w:after="100" w:before="200"/>
      </w:pPr>
      <w:r>
        <w:t xml:space="preserve">Data handling &amp; privacy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Catalog and buyer data uploaded by a tenant is stored as a private, tenant-scoped copy — never shared across tenants, never synced back to any external system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Formal data retention / deletion policy (e.g. GDPR-style requests) is deferred past MVP — see Future Releases in the MVP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2026-09-16T02:17:16.680Z</dcterms:created>
  <dcterms:modified xsi:type="dcterms:W3CDTF">2026-09-16T02:17:16.680Z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