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DocFlow — Technology Stack &amp; Estimated Costs</w:t>
      </w:r>
    </w:p>
    <w:p>
      <w:pPr>
        <w:pBdr>
          <w:bottom w:val="single" w:color="0F6E56" w:sz="6" w:space="8"/>
        </w:pBdr>
        <w:spacing w:after="120"/>
      </w:pPr>
      <w:r>
        <w:rPr>
          <w:i/>
          <w:iCs/>
          <w:color w:val="666666"/>
        </w:rPr>
        <w:t xml:space="preserve">Internal reference · Version 1 · September 2026</w:t>
      </w:r>
    </w:p>
    <w:p>
      <w:pPr>
        <w:spacing w:after="120"/>
      </w:pPr>
    </w:p>
    <w:p>
      <w:pPr>
        <w:pStyle w:val="Heading1"/>
        <w:spacing w:after="140" w:before="280"/>
      </w:pPr>
      <w:r>
        <w:t xml:space="preserve">Stack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rPr>
          <w:tblHeader/>
        </w:trPr>
        <w:tc>
          <w:tcPr>
            <w:tcW w:type="dxa" w:w="2000"/>
            <w:shd w:fill="0F6E56" w:val="clear"/>
            <w:tcMar>
              <w:top w:type="dxa" w:w="80"/>
              <w:left w:type="dxa" w:w="120"/>
              <w:bottom w:type="dxa" w:w="80"/>
              <w:right w:type="dxa" w:w="120"/>
            </w:tcMar>
            <w:vAlign w:val="center"/>
          </w:tcPr>
          <w:p>
            <w:r>
              <w:rPr>
                <w:b/>
                <w:bCs/>
                <w:color w:val="FFFFFF"/>
              </w:rPr>
              <w:t xml:space="preserve">Layer</w:t>
            </w:r>
          </w:p>
        </w:tc>
        <w:tc>
          <w:tcPr>
            <w:tcW w:type="dxa" w:w="2600"/>
            <w:shd w:fill="0F6E56" w:val="clear"/>
            <w:tcMar>
              <w:top w:type="dxa" w:w="80"/>
              <w:left w:type="dxa" w:w="120"/>
              <w:bottom w:type="dxa" w:w="80"/>
              <w:right w:type="dxa" w:w="120"/>
            </w:tcMar>
            <w:vAlign w:val="center"/>
          </w:tcPr>
          <w:p>
            <w:r>
              <w:rPr>
                <w:b/>
                <w:bCs/>
                <w:color w:val="FFFFFF"/>
              </w:rPr>
              <w:t xml:space="preserve">Choice</w:t>
            </w:r>
          </w:p>
        </w:tc>
        <w:tc>
          <w:tcPr>
            <w:tcW w:type="dxa" w:w="4760"/>
            <w:shd w:fill="0F6E56" w:val="clear"/>
            <w:tcMar>
              <w:top w:type="dxa" w:w="80"/>
              <w:left w:type="dxa" w:w="120"/>
              <w:bottom w:type="dxa" w:w="80"/>
              <w:right w:type="dxa" w:w="120"/>
            </w:tcMar>
            <w:vAlign w:val="center"/>
          </w:tcPr>
          <w:p>
            <w:r>
              <w:rPr>
                <w:b/>
                <w:bCs/>
                <w:color w:val="FFFFFF"/>
              </w:rPr>
              <w:t xml:space="preserve">Why</w:t>
            </w:r>
          </w:p>
        </w:tc>
      </w:tr>
      <w:tr>
        <w:tc>
          <w:tcPr>
            <w:tcW w:type="dxa" w:w="2000"/>
            <w:tcMar>
              <w:top w:type="dxa" w:w="80"/>
              <w:left w:type="dxa" w:w="120"/>
              <w:bottom w:type="dxa" w:w="80"/>
              <w:right w:type="dxa" w:w="120"/>
            </w:tcMar>
            <w:vAlign w:val="center"/>
          </w:tcPr>
          <w:p>
            <w:r>
              <w:rPr>
                <w:b w:val="false"/>
                <w:bCs w:val="false"/>
                <w:color w:val="000000"/>
              </w:rPr>
              <w:t xml:space="preserve">Frontend</w:t>
            </w:r>
          </w:p>
        </w:tc>
        <w:tc>
          <w:tcPr>
            <w:tcW w:type="dxa" w:w="2600"/>
            <w:tcMar>
              <w:top w:type="dxa" w:w="80"/>
              <w:left w:type="dxa" w:w="120"/>
              <w:bottom w:type="dxa" w:w="80"/>
              <w:right w:type="dxa" w:w="120"/>
            </w:tcMar>
            <w:vAlign w:val="center"/>
          </w:tcPr>
          <w:p>
            <w:r>
              <w:rPr>
                <w:b w:val="false"/>
                <w:bCs w:val="false"/>
                <w:color w:val="000000"/>
              </w:rPr>
              <w:t xml:space="preserve">Next.js 15 (App Router) + TypeScript + Tailwind + shadcn/ui</w:t>
            </w:r>
          </w:p>
        </w:tc>
        <w:tc>
          <w:tcPr>
            <w:tcW w:type="dxa" w:w="4760"/>
            <w:tcMar>
              <w:top w:type="dxa" w:w="80"/>
              <w:left w:type="dxa" w:w="120"/>
              <w:bottom w:type="dxa" w:w="80"/>
              <w:right w:type="dxa" w:w="120"/>
            </w:tcMar>
            <w:vAlign w:val="center"/>
          </w:tcPr>
          <w:p>
            <w:r>
              <w:rPr>
                <w:b w:val="false"/>
                <w:bCs w:val="false"/>
                <w:color w:val="000000"/>
              </w:rPr>
              <w:t xml:space="preserve">Fast to ship auth-protected dashboards and review screens</w:t>
            </w:r>
          </w:p>
        </w:tc>
      </w:tr>
      <w:tr>
        <w:tc>
          <w:tcPr>
            <w:tcW w:type="dxa" w:w="2000"/>
            <w:tcMar>
              <w:top w:type="dxa" w:w="80"/>
              <w:left w:type="dxa" w:w="120"/>
              <w:bottom w:type="dxa" w:w="80"/>
              <w:right w:type="dxa" w:w="120"/>
            </w:tcMar>
            <w:vAlign w:val="center"/>
          </w:tcPr>
          <w:p>
            <w:r>
              <w:rPr>
                <w:b w:val="false"/>
                <w:bCs w:val="false"/>
                <w:color w:val="000000"/>
              </w:rPr>
              <w:t xml:space="preserve">Backend / AI pipeline</w:t>
            </w:r>
          </w:p>
        </w:tc>
        <w:tc>
          <w:tcPr>
            <w:tcW w:type="dxa" w:w="2600"/>
            <w:tcMar>
              <w:top w:type="dxa" w:w="80"/>
              <w:left w:type="dxa" w:w="120"/>
              <w:bottom w:type="dxa" w:w="80"/>
              <w:right w:type="dxa" w:w="120"/>
            </w:tcMar>
            <w:vAlign w:val="center"/>
          </w:tcPr>
          <w:p>
            <w:r>
              <w:rPr>
                <w:b w:val="false"/>
                <w:bCs w:val="false"/>
                <w:color w:val="000000"/>
              </w:rPr>
              <w:t xml:space="preserve">FastAPI (Python)</w:t>
            </w:r>
          </w:p>
        </w:tc>
        <w:tc>
          <w:tcPr>
            <w:tcW w:type="dxa" w:w="4760"/>
            <w:tcMar>
              <w:top w:type="dxa" w:w="80"/>
              <w:left w:type="dxa" w:w="120"/>
              <w:bottom w:type="dxa" w:w="80"/>
              <w:right w:type="dxa" w:w="120"/>
            </w:tcMar>
            <w:vAlign w:val="center"/>
          </w:tcPr>
          <w:p>
            <w:r>
              <w:rPr>
                <w:b w:val="false"/>
                <w:bCs w:val="false"/>
                <w:color w:val="000000"/>
              </w:rPr>
              <w:t xml:space="preserve">Strongest ecosystem for PDF parsing, structured LLM extraction, and background jobs</w:t>
            </w:r>
          </w:p>
        </w:tc>
      </w:tr>
      <w:tr>
        <w:tc>
          <w:tcPr>
            <w:tcW w:type="dxa" w:w="2000"/>
            <w:tcMar>
              <w:top w:type="dxa" w:w="80"/>
              <w:left w:type="dxa" w:w="120"/>
              <w:bottom w:type="dxa" w:w="80"/>
              <w:right w:type="dxa" w:w="120"/>
            </w:tcMar>
            <w:vAlign w:val="center"/>
          </w:tcPr>
          <w:p>
            <w:r>
              <w:rPr>
                <w:b w:val="false"/>
                <w:bCs w:val="false"/>
                <w:color w:val="000000"/>
              </w:rPr>
              <w:t xml:space="preserve">Database</w:t>
            </w:r>
          </w:p>
        </w:tc>
        <w:tc>
          <w:tcPr>
            <w:tcW w:type="dxa" w:w="2600"/>
            <w:tcMar>
              <w:top w:type="dxa" w:w="80"/>
              <w:left w:type="dxa" w:w="120"/>
              <w:bottom w:type="dxa" w:w="80"/>
              <w:right w:type="dxa" w:w="120"/>
            </w:tcMar>
            <w:vAlign w:val="center"/>
          </w:tcPr>
          <w:p>
            <w:r>
              <w:rPr>
                <w:b w:val="false"/>
                <w:bCs w:val="false"/>
                <w:color w:val="000000"/>
              </w:rPr>
              <w:t xml:space="preserve">PostgreSQL via Supabase or Neon</w:t>
            </w:r>
          </w:p>
        </w:tc>
        <w:tc>
          <w:tcPr>
            <w:tcW w:type="dxa" w:w="4760"/>
            <w:tcMar>
              <w:top w:type="dxa" w:w="80"/>
              <w:left w:type="dxa" w:w="120"/>
              <w:bottom w:type="dxa" w:w="80"/>
              <w:right w:type="dxa" w:w="120"/>
            </w:tcMar>
            <w:vAlign w:val="center"/>
          </w:tcPr>
          <w:p>
            <w:r>
              <w:rPr>
                <w:b w:val="false"/>
                <w:bCs w:val="false"/>
                <w:color w:val="000000"/>
              </w:rPr>
              <w:t xml:space="preserve">Multi-tenant friendly, JSONB support, managed backups</w:t>
            </w:r>
          </w:p>
        </w:tc>
      </w:tr>
      <w:tr>
        <w:tc>
          <w:tcPr>
            <w:tcW w:type="dxa" w:w="2000"/>
            <w:tcMar>
              <w:top w:type="dxa" w:w="80"/>
              <w:left w:type="dxa" w:w="120"/>
              <w:bottom w:type="dxa" w:w="80"/>
              <w:right w:type="dxa" w:w="120"/>
            </w:tcMar>
            <w:vAlign w:val="center"/>
          </w:tcPr>
          <w:p>
            <w:r>
              <w:rPr>
                <w:b w:val="false"/>
                <w:bCs w:val="false"/>
                <w:color w:val="000000"/>
              </w:rPr>
              <w:t xml:space="preserve">Auth</w:t>
            </w:r>
          </w:p>
        </w:tc>
        <w:tc>
          <w:tcPr>
            <w:tcW w:type="dxa" w:w="2600"/>
            <w:tcMar>
              <w:top w:type="dxa" w:w="80"/>
              <w:left w:type="dxa" w:w="120"/>
              <w:bottom w:type="dxa" w:w="80"/>
              <w:right w:type="dxa" w:w="120"/>
            </w:tcMar>
            <w:vAlign w:val="center"/>
          </w:tcPr>
          <w:p>
            <w:r>
              <w:rPr>
                <w:b w:val="false"/>
                <w:bCs w:val="false"/>
                <w:color w:val="000000"/>
              </w:rPr>
              <w:t xml:space="preserve">Clerk or Supabase Auth</w:t>
            </w:r>
          </w:p>
        </w:tc>
        <w:tc>
          <w:tcPr>
            <w:tcW w:type="dxa" w:w="4760"/>
            <w:tcMar>
              <w:top w:type="dxa" w:w="80"/>
              <w:left w:type="dxa" w:w="120"/>
              <w:bottom w:type="dxa" w:w="80"/>
              <w:right w:type="dxa" w:w="120"/>
            </w:tcMar>
            <w:vAlign w:val="center"/>
          </w:tcPr>
          <w:p>
            <w:r>
              <w:rPr>
                <w:b w:val="false"/>
                <w:bCs w:val="false"/>
                <w:color w:val="000000"/>
              </w:rPr>
              <w:t xml:space="preserve">Fast to implement, built-in multi-tenant support</w:t>
            </w:r>
          </w:p>
        </w:tc>
      </w:tr>
      <w:tr>
        <w:tc>
          <w:tcPr>
            <w:tcW w:type="dxa" w:w="2000"/>
            <w:tcMar>
              <w:top w:type="dxa" w:w="80"/>
              <w:left w:type="dxa" w:w="120"/>
              <w:bottom w:type="dxa" w:w="80"/>
              <w:right w:type="dxa" w:w="120"/>
            </w:tcMar>
            <w:vAlign w:val="center"/>
          </w:tcPr>
          <w:p>
            <w:r>
              <w:rPr>
                <w:b w:val="false"/>
                <w:bCs w:val="false"/>
                <w:color w:val="000000"/>
              </w:rPr>
              <w:t xml:space="preserve">File storage</w:t>
            </w:r>
          </w:p>
        </w:tc>
        <w:tc>
          <w:tcPr>
            <w:tcW w:type="dxa" w:w="2600"/>
            <w:tcMar>
              <w:top w:type="dxa" w:w="80"/>
              <w:left w:type="dxa" w:w="120"/>
              <w:bottom w:type="dxa" w:w="80"/>
              <w:right w:type="dxa" w:w="120"/>
            </w:tcMar>
            <w:vAlign w:val="center"/>
          </w:tcPr>
          <w:p>
            <w:r>
              <w:rPr>
                <w:b w:val="false"/>
                <w:bCs w:val="false"/>
                <w:color w:val="000000"/>
              </w:rPr>
              <w:t xml:space="preserve">Supabase Storage or Cloudflare R2</w:t>
            </w:r>
          </w:p>
        </w:tc>
        <w:tc>
          <w:tcPr>
            <w:tcW w:type="dxa" w:w="4760"/>
            <w:tcMar>
              <w:top w:type="dxa" w:w="80"/>
              <w:left w:type="dxa" w:w="120"/>
              <w:bottom w:type="dxa" w:w="80"/>
              <w:right w:type="dxa" w:w="120"/>
            </w:tcMar>
            <w:vAlign w:val="center"/>
          </w:tcPr>
          <w:p>
            <w:r>
              <w:rPr>
                <w:b w:val="false"/>
                <w:bCs w:val="false"/>
                <w:color w:val="000000"/>
              </w:rPr>
              <w:t xml:space="preserve">Cheap, simple, tenant-prefixed private document storage</w:t>
            </w:r>
          </w:p>
        </w:tc>
      </w:tr>
      <w:tr>
        <w:tc>
          <w:tcPr>
            <w:tcW w:type="dxa" w:w="2000"/>
            <w:tcMar>
              <w:top w:type="dxa" w:w="80"/>
              <w:left w:type="dxa" w:w="120"/>
              <w:bottom w:type="dxa" w:w="80"/>
              <w:right w:type="dxa" w:w="120"/>
            </w:tcMar>
            <w:vAlign w:val="center"/>
          </w:tcPr>
          <w:p>
            <w:r>
              <w:rPr>
                <w:b w:val="false"/>
                <w:bCs w:val="false"/>
                <w:color w:val="000000"/>
              </w:rPr>
              <w:t xml:space="preserve">Email intake</w:t>
            </w:r>
          </w:p>
        </w:tc>
        <w:tc>
          <w:tcPr>
            <w:tcW w:type="dxa" w:w="2600"/>
            <w:tcMar>
              <w:top w:type="dxa" w:w="80"/>
              <w:left w:type="dxa" w:w="120"/>
              <w:bottom w:type="dxa" w:w="80"/>
              <w:right w:type="dxa" w:w="120"/>
            </w:tcMar>
            <w:vAlign w:val="center"/>
          </w:tcPr>
          <w:p>
            <w:r>
              <w:rPr>
                <w:b w:val="false"/>
                <w:bCs w:val="false"/>
                <w:color w:val="000000"/>
              </w:rPr>
              <w:t xml:space="preserve">Resend or Postmark + inbound parsing</w:t>
            </w:r>
          </w:p>
        </w:tc>
        <w:tc>
          <w:tcPr>
            <w:tcW w:type="dxa" w:w="4760"/>
            <w:tcMar>
              <w:top w:type="dxa" w:w="80"/>
              <w:left w:type="dxa" w:w="120"/>
              <w:bottom w:type="dxa" w:w="80"/>
              <w:right w:type="dxa" w:w="120"/>
            </w:tcMar>
            <w:vAlign w:val="center"/>
          </w:tcPr>
          <w:p>
            <w:r>
              <w:rPr>
                <w:b w:val="false"/>
                <w:bCs w:val="false"/>
                <w:color w:val="000000"/>
              </w:rPr>
              <w:t xml:space="preserve">Reliable dedicated inbound address per tenant</w:t>
            </w:r>
          </w:p>
        </w:tc>
      </w:tr>
      <w:tr>
        <w:tc>
          <w:tcPr>
            <w:tcW w:type="dxa" w:w="2000"/>
            <w:tcMar>
              <w:top w:type="dxa" w:w="80"/>
              <w:left w:type="dxa" w:w="120"/>
              <w:bottom w:type="dxa" w:w="80"/>
              <w:right w:type="dxa" w:w="120"/>
            </w:tcMar>
            <w:vAlign w:val="center"/>
          </w:tcPr>
          <w:p>
            <w:r>
              <w:rPr>
                <w:b w:val="false"/>
                <w:bCs w:val="false"/>
                <w:color w:val="000000"/>
              </w:rPr>
              <w:t xml:space="preserve">AI extraction</w:t>
            </w:r>
          </w:p>
        </w:tc>
        <w:tc>
          <w:tcPr>
            <w:tcW w:type="dxa" w:w="2600"/>
            <w:tcMar>
              <w:top w:type="dxa" w:w="80"/>
              <w:left w:type="dxa" w:w="120"/>
              <w:bottom w:type="dxa" w:w="80"/>
              <w:right w:type="dxa" w:w="120"/>
            </w:tcMar>
            <w:vAlign w:val="center"/>
          </w:tcPr>
          <w:p>
            <w:r>
              <w:rPr>
                <w:b w:val="false"/>
                <w:bCs w:val="false"/>
                <w:color w:val="000000"/>
              </w:rPr>
              <w:t xml:space="preserve">Claude (current proof-of-concept uses Claude directly via the Anthropic SDK)</w:t>
            </w:r>
          </w:p>
        </w:tc>
        <w:tc>
          <w:tcPr>
            <w:tcW w:type="dxa" w:w="4760"/>
            <w:tcMar>
              <w:top w:type="dxa" w:w="80"/>
              <w:left w:type="dxa" w:w="120"/>
              <w:bottom w:type="dxa" w:w="80"/>
              <w:right w:type="dxa" w:w="120"/>
            </w:tcMar>
            <w:vAlign w:val="center"/>
          </w:tcPr>
          <w:p>
            <w:r>
              <w:rPr>
                <w:b w:val="false"/>
                <w:bCs w:val="false"/>
                <w:color w:val="000000"/>
              </w:rPr>
              <w:t xml:space="preserve">Highest accuracy on messy tables and layouts currently available</w:t>
            </w:r>
          </w:p>
        </w:tc>
      </w:tr>
      <w:tr>
        <w:tc>
          <w:tcPr>
            <w:tcW w:type="dxa" w:w="2000"/>
            <w:tcMar>
              <w:top w:type="dxa" w:w="80"/>
              <w:left w:type="dxa" w:w="120"/>
              <w:bottom w:type="dxa" w:w="80"/>
              <w:right w:type="dxa" w:w="120"/>
            </w:tcMar>
            <w:vAlign w:val="center"/>
          </w:tcPr>
          <w:p>
            <w:r>
              <w:rPr>
                <w:b w:val="false"/>
                <w:bCs w:val="false"/>
                <w:color w:val="000000"/>
              </w:rPr>
              <w:t xml:space="preserve">Background jobs</w:t>
            </w:r>
          </w:p>
        </w:tc>
        <w:tc>
          <w:tcPr>
            <w:tcW w:type="dxa" w:w="2600"/>
            <w:tcMar>
              <w:top w:type="dxa" w:w="80"/>
              <w:left w:type="dxa" w:w="120"/>
              <w:bottom w:type="dxa" w:w="80"/>
              <w:right w:type="dxa" w:w="120"/>
            </w:tcMar>
            <w:vAlign w:val="center"/>
          </w:tcPr>
          <w:p>
            <w:r>
              <w:rPr>
                <w:b w:val="false"/>
                <w:bCs w:val="false"/>
                <w:color w:val="000000"/>
              </w:rPr>
              <w:t xml:space="preserve">Celery + Redis, or Inngest / Trigger.dev</w:t>
            </w:r>
          </w:p>
        </w:tc>
        <w:tc>
          <w:tcPr>
            <w:tcW w:type="dxa" w:w="4760"/>
            <w:tcMar>
              <w:top w:type="dxa" w:w="80"/>
              <w:left w:type="dxa" w:w="120"/>
              <w:bottom w:type="dxa" w:w="80"/>
              <w:right w:type="dxa" w:w="120"/>
            </w:tcMar>
            <w:vAlign w:val="center"/>
          </w:tcPr>
          <w:p>
            <w:r>
              <w:rPr>
                <w:b w:val="false"/>
                <w:bCs w:val="false"/>
                <w:color w:val="000000"/>
              </w:rPr>
              <w:t xml:space="preserve">Document processing must run asynchronously</w:t>
            </w:r>
          </w:p>
        </w:tc>
      </w:tr>
      <w:tr>
        <w:tc>
          <w:tcPr>
            <w:tcW w:type="dxa" w:w="2000"/>
            <w:tcMar>
              <w:top w:type="dxa" w:w="80"/>
              <w:left w:type="dxa" w:w="120"/>
              <w:bottom w:type="dxa" w:w="80"/>
              <w:right w:type="dxa" w:w="120"/>
            </w:tcMar>
            <w:vAlign w:val="center"/>
          </w:tcPr>
          <w:p>
            <w:r>
              <w:rPr>
                <w:b w:val="false"/>
                <w:bCs w:val="false"/>
                <w:color w:val="000000"/>
              </w:rPr>
              <w:t xml:space="preserve">Hosting</w:t>
            </w:r>
          </w:p>
        </w:tc>
        <w:tc>
          <w:tcPr>
            <w:tcW w:type="dxa" w:w="2600"/>
            <w:tcMar>
              <w:top w:type="dxa" w:w="80"/>
              <w:left w:type="dxa" w:w="120"/>
              <w:bottom w:type="dxa" w:w="80"/>
              <w:right w:type="dxa" w:w="120"/>
            </w:tcMar>
            <w:vAlign w:val="center"/>
          </w:tcPr>
          <w:p>
            <w:r>
              <w:rPr>
                <w:b w:val="false"/>
                <w:bCs w:val="false"/>
                <w:color w:val="000000"/>
              </w:rPr>
              <w:t xml:space="preserve">Vercel (frontend) + Railway or Render (API + workers)</w:t>
            </w:r>
          </w:p>
        </w:tc>
        <w:tc>
          <w:tcPr>
            <w:tcW w:type="dxa" w:w="4760"/>
            <w:tcMar>
              <w:top w:type="dxa" w:w="80"/>
              <w:left w:type="dxa" w:w="120"/>
              <w:bottom w:type="dxa" w:w="80"/>
              <w:right w:type="dxa" w:w="120"/>
            </w:tcMar>
            <w:vAlign w:val="center"/>
          </w:tcPr>
          <w:p>
            <w:r>
              <w:rPr>
                <w:b w:val="false"/>
                <w:bCs w:val="false"/>
                <w:color w:val="000000"/>
              </w:rPr>
              <w:t xml:space="preserve">Simple, usage-based, scales with volume</w:t>
            </w:r>
          </w:p>
        </w:tc>
      </w:tr>
      <w:tr>
        <w:tc>
          <w:tcPr>
            <w:tcW w:type="dxa" w:w="2000"/>
            <w:tcMar>
              <w:top w:type="dxa" w:w="80"/>
              <w:left w:type="dxa" w:w="120"/>
              <w:bottom w:type="dxa" w:w="80"/>
              <w:right w:type="dxa" w:w="120"/>
            </w:tcMar>
            <w:vAlign w:val="center"/>
          </w:tcPr>
          <w:p>
            <w:r>
              <w:rPr>
                <w:b w:val="false"/>
                <w:bCs w:val="false"/>
                <w:color w:val="000000"/>
              </w:rPr>
              <w:t xml:space="preserve">Payments</w:t>
            </w:r>
          </w:p>
        </w:tc>
        <w:tc>
          <w:tcPr>
            <w:tcW w:type="dxa" w:w="2600"/>
            <w:tcMar>
              <w:top w:type="dxa" w:w="80"/>
              <w:left w:type="dxa" w:w="120"/>
              <w:bottom w:type="dxa" w:w="80"/>
              <w:right w:type="dxa" w:w="120"/>
            </w:tcMar>
            <w:vAlign w:val="center"/>
          </w:tcPr>
          <w:p>
            <w:r>
              <w:rPr>
                <w:b w:val="false"/>
                <w:bCs w:val="false"/>
                <w:color w:val="000000"/>
              </w:rPr>
              <w:t xml:space="preserve">Stripe</w:t>
            </w:r>
          </w:p>
        </w:tc>
        <w:tc>
          <w:tcPr>
            <w:tcW w:type="dxa" w:w="4760"/>
            <w:tcMar>
              <w:top w:type="dxa" w:w="80"/>
              <w:left w:type="dxa" w:w="120"/>
              <w:bottom w:type="dxa" w:w="80"/>
              <w:right w:type="dxa" w:w="120"/>
            </w:tcMar>
            <w:vAlign w:val="center"/>
          </w:tcPr>
          <w:p>
            <w:r>
              <w:rPr>
                <w:b w:val="false"/>
                <w:bCs w:val="false"/>
                <w:color w:val="000000"/>
              </w:rPr>
              <w:t xml:space="preserve">Standard, handles subscriptions and one-time setup fees</w:t>
            </w:r>
          </w:p>
        </w:tc>
      </w:tr>
      <w:tr>
        <w:tc>
          <w:tcPr>
            <w:tcW w:type="dxa" w:w="2000"/>
            <w:tcMar>
              <w:top w:type="dxa" w:w="80"/>
              <w:left w:type="dxa" w:w="120"/>
              <w:bottom w:type="dxa" w:w="80"/>
              <w:right w:type="dxa" w:w="120"/>
            </w:tcMar>
            <w:vAlign w:val="center"/>
          </w:tcPr>
          <w:p>
            <w:r>
              <w:rPr>
                <w:b w:val="false"/>
                <w:bCs w:val="false"/>
                <w:color w:val="000000"/>
              </w:rPr>
              <w:t xml:space="preserve">Observability</w:t>
            </w:r>
          </w:p>
        </w:tc>
        <w:tc>
          <w:tcPr>
            <w:tcW w:type="dxa" w:w="2600"/>
            <w:tcMar>
              <w:top w:type="dxa" w:w="80"/>
              <w:left w:type="dxa" w:w="120"/>
              <w:bottom w:type="dxa" w:w="80"/>
              <w:right w:type="dxa" w:w="120"/>
            </w:tcMar>
            <w:vAlign w:val="center"/>
          </w:tcPr>
          <w:p>
            <w:r>
              <w:rPr>
                <w:b w:val="false"/>
                <w:bCs w:val="false"/>
                <w:color w:val="000000"/>
              </w:rPr>
              <w:t xml:space="preserve">Sentry (errors) + Langfuse or Helicone (LLM cost/latency/confidence)</w:t>
            </w:r>
          </w:p>
        </w:tc>
        <w:tc>
          <w:tcPr>
            <w:tcW w:type="dxa" w:w="4760"/>
            <w:tcMar>
              <w:top w:type="dxa" w:w="80"/>
              <w:left w:type="dxa" w:w="120"/>
              <w:bottom w:type="dxa" w:w="80"/>
              <w:right w:type="dxa" w:w="120"/>
            </w:tcMar>
            <w:vAlign w:val="center"/>
          </w:tcPr>
          <w:p>
            <w:r>
              <w:rPr>
                <w:b w:val="false"/>
                <w:bCs w:val="false"/>
                <w:color w:val="000000"/>
              </w:rPr>
              <w:t xml:space="preserve">Cost and quality per document must be tracked from day one</w:t>
            </w:r>
          </w:p>
        </w:tc>
      </w:tr>
    </w:tbl>
    <w:p>
      <w:pPr>
        <w:spacing w:after="160"/>
      </w:pPr>
      <w:r>
        <w:rPr>
          <w:b w:val="false"/>
          <w:bCs w:val="false"/>
          <w:i w:val="false"/>
          <w:iCs w:val="false"/>
        </w:rPr>
        <w:t xml:space="preserve">Fastest path for a solo founder: start as a Next.js monolith calling the extraction API directly (Vercel AI SDK), and move the heavy pipeline to FastAPI only once volume or complexity requires it. Avoid building custom OCR — use a vision-capable LLM directly.</w:t>
      </w:r>
    </w:p>
    <w:p>
      <w:pPr>
        <w:pStyle w:val="Heading1"/>
        <w:spacing w:after="140" w:before="280"/>
      </w:pPr>
      <w:r>
        <w:t xml:space="preserve">Monthly operating cost estimate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0F6E56" w:val="clear"/>
            <w:tcMar>
              <w:top w:type="dxa" w:w="80"/>
              <w:left w:type="dxa" w:w="120"/>
              <w:bottom w:type="dxa" w:w="80"/>
              <w:right w:type="dxa" w:w="120"/>
            </w:tcMar>
            <w:vAlign w:val="center"/>
          </w:tcPr>
          <w:p>
            <w:r>
              <w:rPr>
                <w:b/>
                <w:bCs/>
                <w:color w:val="FFFFFF"/>
              </w:rPr>
              <w:t xml:space="preserve">Cost item</w:t>
            </w:r>
          </w:p>
        </w:tc>
        <w:tc>
          <w:tcPr>
            <w:tcW w:type="dxa" w:w="4680"/>
            <w:shd w:fill="0F6E56" w:val="clear"/>
            <w:tcMar>
              <w:top w:type="dxa" w:w="80"/>
              <w:left w:type="dxa" w:w="120"/>
              <w:bottom w:type="dxa" w:w="80"/>
              <w:right w:type="dxa" w:w="120"/>
            </w:tcMar>
            <w:vAlign w:val="center"/>
          </w:tcPr>
          <w:p>
            <w:r>
              <w:rPr>
                <w:b/>
                <w:bCs/>
                <w:color w:val="FFFFFF"/>
              </w:rPr>
              <w:t xml:space="preserve">Estimate</w:t>
            </w:r>
          </w:p>
        </w:tc>
      </w:tr>
      <w:tr>
        <w:tc>
          <w:tcPr>
            <w:tcW w:type="dxa" w:w="4680"/>
            <w:tcMar>
              <w:top w:type="dxa" w:w="80"/>
              <w:left w:type="dxa" w:w="120"/>
              <w:bottom w:type="dxa" w:w="80"/>
              <w:right w:type="dxa" w:w="120"/>
            </w:tcMar>
            <w:vAlign w:val="center"/>
          </w:tcPr>
          <w:p>
            <w:r>
              <w:rPr>
                <w:b w:val="false"/>
                <w:bCs w:val="false"/>
                <w:color w:val="000000"/>
              </w:rPr>
              <w:t xml:space="preserve">AI extraction, per document</w:t>
            </w:r>
          </w:p>
        </w:tc>
        <w:tc>
          <w:tcPr>
            <w:tcW w:type="dxa" w:w="4680"/>
            <w:tcMar>
              <w:top w:type="dxa" w:w="80"/>
              <w:left w:type="dxa" w:w="120"/>
              <w:bottom w:type="dxa" w:w="80"/>
              <w:right w:type="dxa" w:w="120"/>
            </w:tcMar>
            <w:vAlign w:val="center"/>
          </w:tcPr>
          <w:p>
            <w:r>
              <w:rPr>
                <w:b w:val="false"/>
                <w:bCs w:val="false"/>
                <w:color w:val="000000"/>
              </w:rPr>
              <w:t xml:space="preserve">See note below — two unreconciled estimates exist</w:t>
            </w:r>
          </w:p>
        </w:tc>
      </w:tr>
      <w:tr>
        <w:tc>
          <w:tcPr>
            <w:tcW w:type="dxa" w:w="4680"/>
            <w:tcMar>
              <w:top w:type="dxa" w:w="80"/>
              <w:left w:type="dxa" w:w="120"/>
              <w:bottom w:type="dxa" w:w="80"/>
              <w:right w:type="dxa" w:w="120"/>
            </w:tcMar>
            <w:vAlign w:val="center"/>
          </w:tcPr>
          <w:p>
            <w:r>
              <w:rPr>
                <w:b w:val="false"/>
                <w:bCs w:val="false"/>
                <w:color w:val="000000"/>
              </w:rPr>
              <w:t xml:space="preserve">Inbound email parsing (e.g. Mailgun, Resend, Postmark)</w:t>
            </w:r>
          </w:p>
        </w:tc>
        <w:tc>
          <w:tcPr>
            <w:tcW w:type="dxa" w:w="4680"/>
            <w:tcMar>
              <w:top w:type="dxa" w:w="80"/>
              <w:left w:type="dxa" w:w="120"/>
              <w:bottom w:type="dxa" w:w="80"/>
              <w:right w:type="dxa" w:w="120"/>
            </w:tcMar>
            <w:vAlign w:val="center"/>
          </w:tcPr>
          <w:p>
            <w:r>
              <w:rPr>
                <w:b w:val="false"/>
                <w:bCs w:val="false"/>
                <w:color w:val="000000"/>
              </w:rPr>
              <w:t xml:space="preserve">$15–$35 / month</w:t>
            </w:r>
          </w:p>
        </w:tc>
      </w:tr>
      <w:tr>
        <w:tc>
          <w:tcPr>
            <w:tcW w:type="dxa" w:w="4680"/>
            <w:tcMar>
              <w:top w:type="dxa" w:w="80"/>
              <w:left w:type="dxa" w:w="120"/>
              <w:bottom w:type="dxa" w:w="80"/>
              <w:right w:type="dxa" w:w="120"/>
            </w:tcMar>
            <w:vAlign w:val="center"/>
          </w:tcPr>
          <w:p>
            <w:r>
              <w:rPr>
                <w:b w:val="false"/>
                <w:bCs w:val="false"/>
                <w:color w:val="000000"/>
              </w:rPr>
              <w:t xml:space="preserve">App hosting &amp; database</w:t>
            </w:r>
          </w:p>
        </w:tc>
        <w:tc>
          <w:tcPr>
            <w:tcW w:type="dxa" w:w="4680"/>
            <w:tcMar>
              <w:top w:type="dxa" w:w="80"/>
              <w:left w:type="dxa" w:w="120"/>
              <w:bottom w:type="dxa" w:w="80"/>
              <w:right w:type="dxa" w:w="120"/>
            </w:tcMar>
            <w:vAlign w:val="center"/>
          </w:tcPr>
          <w:p>
            <w:r>
              <w:rPr>
                <w:b w:val="false"/>
                <w:bCs w:val="false"/>
                <w:color w:val="000000"/>
              </w:rPr>
              <w:t xml:space="preserve">$20–$50 / month</w:t>
            </w:r>
          </w:p>
        </w:tc>
      </w:tr>
      <w:tr>
        <w:tc>
          <w:tcPr>
            <w:tcW w:type="dxa" w:w="4680"/>
            <w:tcMar>
              <w:top w:type="dxa" w:w="80"/>
              <w:left w:type="dxa" w:w="120"/>
              <w:bottom w:type="dxa" w:w="80"/>
              <w:right w:type="dxa" w:w="120"/>
            </w:tcMar>
            <w:vAlign w:val="center"/>
          </w:tcPr>
          <w:p>
            <w:r>
              <w:rPr>
                <w:b w:val="false"/>
                <w:bCs w:val="false"/>
                <w:color w:val="000000"/>
              </w:rPr>
              <w:t xml:space="preserve">Document storage</w:t>
            </w:r>
          </w:p>
        </w:tc>
        <w:tc>
          <w:tcPr>
            <w:tcW w:type="dxa" w:w="4680"/>
            <w:tcMar>
              <w:top w:type="dxa" w:w="80"/>
              <w:left w:type="dxa" w:w="120"/>
              <w:bottom w:type="dxa" w:w="80"/>
              <w:right w:type="dxa" w:w="120"/>
            </w:tcMar>
            <w:vAlign w:val="center"/>
          </w:tcPr>
          <w:p>
            <w:r>
              <w:rPr>
                <w:b w:val="false"/>
                <w:bCs w:val="false"/>
                <w:color w:val="000000"/>
              </w:rPr>
              <w:t xml:space="preserve">$5–$15 / month</w:t>
            </w:r>
          </w:p>
        </w:tc>
      </w:tr>
      <w:tr>
        <w:tc>
          <w:tcPr>
            <w:tcW w:type="dxa" w:w="4680"/>
            <w:tcMar>
              <w:top w:type="dxa" w:w="80"/>
              <w:left w:type="dxa" w:w="120"/>
              <w:bottom w:type="dxa" w:w="80"/>
              <w:right w:type="dxa" w:w="120"/>
            </w:tcMar>
            <w:vAlign w:val="center"/>
          </w:tcPr>
          <w:p>
            <w:r>
              <w:rPr>
                <w:b w:val="false"/>
                <w:bCs w:val="false"/>
                <w:color w:val="000000"/>
              </w:rPr>
              <w:t xml:space="preserve">Misc. (domain, monitoring, etc.)</w:t>
            </w:r>
          </w:p>
        </w:tc>
        <w:tc>
          <w:tcPr>
            <w:tcW w:type="dxa" w:w="4680"/>
            <w:tcMar>
              <w:top w:type="dxa" w:w="80"/>
              <w:left w:type="dxa" w:w="120"/>
              <w:bottom w:type="dxa" w:w="80"/>
              <w:right w:type="dxa" w:w="120"/>
            </w:tcMar>
            <w:vAlign w:val="center"/>
          </w:tcPr>
          <w:p>
            <w:r>
              <w:rPr>
                <w:b w:val="false"/>
                <w:bCs w:val="false"/>
                <w:color w:val="000000"/>
              </w:rPr>
              <w:t xml:space="preserve">$20–$40 / month</w:t>
            </w:r>
          </w:p>
        </w:tc>
      </w:tr>
      <w:tr>
        <w:tc>
          <w:tcPr>
            <w:tcW w:type="dxa" w:w="4680"/>
            <w:tcMar>
              <w:top w:type="dxa" w:w="80"/>
              <w:left w:type="dxa" w:w="120"/>
              <w:bottom w:type="dxa" w:w="80"/>
              <w:right w:type="dxa" w:w="120"/>
            </w:tcMar>
            <w:vAlign w:val="center"/>
          </w:tcPr>
          <w:p>
            <w:r>
              <w:rPr>
                <w:b w:val="false"/>
                <w:bCs w:val="false"/>
                <w:color w:val="000000"/>
              </w:rPr>
              <w:t xml:space="preserve">Total fixed monthly overhead</w:t>
            </w:r>
          </w:p>
        </w:tc>
        <w:tc>
          <w:tcPr>
            <w:tcW w:type="dxa" w:w="4680"/>
            <w:tcMar>
              <w:top w:type="dxa" w:w="80"/>
              <w:left w:type="dxa" w:w="120"/>
              <w:bottom w:type="dxa" w:w="80"/>
              <w:right w:type="dxa" w:w="120"/>
            </w:tcMar>
            <w:vAlign w:val="center"/>
          </w:tcPr>
          <w:p>
            <w:r>
              <w:rPr>
                <w:b w:val="false"/>
                <w:bCs w:val="false"/>
                <w:color w:val="000000"/>
              </w:rPr>
              <w:t xml:space="preserve">~$75–$140 / month</w:t>
            </w:r>
          </w:p>
        </w:tc>
      </w:tr>
    </w:tbl>
    <w:p>
      <w:pPr>
        <w:spacing w:after="160"/>
      </w:pPr>
      <w:r>
        <w:rPr>
          <w:b w:val="false"/>
          <w:bCs w:val="false"/>
          <w:i/>
          <w:iCs/>
        </w:rPr>
        <w:t xml:space="preserve">Open item: two different per-document AI cost figures exist in earlier planning and haven't been reconciled — an early estimate of $0.003–$0.01/document, and a later, more conservative target of $0.12–$0.35/PO assumed once model-routing and verification passes are added. The proof-of-concept script (parse_pos.py) already computes a real per-document cost on every run using actual token usage — the fastest way to resolve this is to run it against a representative batch of real POs and use that measured figure going forward, rather than continuing to plan against either guess.</w:t>
      </w:r>
    </w:p>
    <w:p>
      <w:pPr>
        <w:spacing w:after="160"/>
      </w:pPr>
      <w:r>
        <w:rPr>
          <w:b w:val="false"/>
          <w:bCs w:val="false"/>
          <w:i w:val="false"/>
          <w:iCs w:val="false"/>
        </w:rPr>
        <w:t xml:space="preserve">Gross margin is high by design: even a Scale customer sending 3,000 documents a month costs roughly $20–$30 in AI spend against $599 in revenue at current pricing (see the Pricing document). The limiting resource is founder time, not infrastructure cost.</w:t>
      </w:r>
    </w:p>
    <w:p>
      <w:pPr>
        <w:pStyle w:val="Heading1"/>
        <w:spacing w:after="140" w:before="280"/>
      </w:pPr>
      <w:r>
        <w:t xml:space="preserve">One-time build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0F6E56" w:val="clear"/>
            <w:tcMar>
              <w:top w:type="dxa" w:w="80"/>
              <w:left w:type="dxa" w:w="120"/>
              <w:bottom w:type="dxa" w:w="80"/>
              <w:right w:type="dxa" w:w="120"/>
            </w:tcMar>
            <w:vAlign w:val="center"/>
          </w:tcPr>
          <w:p>
            <w:r>
              <w:rPr>
                <w:b/>
                <w:bCs/>
                <w:color w:val="FFFFFF"/>
              </w:rPr>
              <w:t xml:space="preserve">Path</w:t>
            </w:r>
          </w:p>
        </w:tc>
        <w:tc>
          <w:tcPr>
            <w:tcW w:type="dxa" w:w="3120"/>
            <w:shd w:fill="0F6E56" w:val="clear"/>
            <w:tcMar>
              <w:top w:type="dxa" w:w="80"/>
              <w:left w:type="dxa" w:w="120"/>
              <w:bottom w:type="dxa" w:w="80"/>
              <w:right w:type="dxa" w:w="120"/>
            </w:tcMar>
            <w:vAlign w:val="center"/>
          </w:tcPr>
          <w:p>
            <w:r>
              <w:rPr>
                <w:b/>
                <w:bCs/>
                <w:color w:val="FFFFFF"/>
              </w:rPr>
              <w:t xml:space="preserve">Cash cost</w:t>
            </w:r>
          </w:p>
        </w:tc>
        <w:tc>
          <w:tcPr>
            <w:tcW w:type="dxa" w:w="3120"/>
            <w:shd w:fill="0F6E56" w:val="clear"/>
            <w:tcMar>
              <w:top w:type="dxa" w:w="80"/>
              <w:left w:type="dxa" w:w="120"/>
              <w:bottom w:type="dxa" w:w="80"/>
              <w:right w:type="dxa" w:w="120"/>
            </w:tcMar>
            <w:vAlign w:val="center"/>
          </w:tcPr>
          <w:p>
            <w:r>
              <w:rPr>
                <w:b/>
                <w:bCs/>
                <w:color w:val="FFFFFF"/>
              </w:rPr>
              <w:t xml:space="preserve">Time</w:t>
            </w:r>
          </w:p>
        </w:tc>
      </w:tr>
      <w:tr>
        <w:tc>
          <w:tcPr>
            <w:tcW w:type="dxa" w:w="3120"/>
            <w:tcMar>
              <w:top w:type="dxa" w:w="80"/>
              <w:left w:type="dxa" w:w="120"/>
              <w:bottom w:type="dxa" w:w="80"/>
              <w:right w:type="dxa" w:w="120"/>
            </w:tcMar>
            <w:vAlign w:val="center"/>
          </w:tcPr>
          <w:p>
            <w:r>
              <w:rPr>
                <w:b w:val="false"/>
                <w:bCs w:val="false"/>
                <w:color w:val="000000"/>
              </w:rPr>
              <w:t xml:space="preserve">Solo founder, AI coding tools (Cursor, Claude, etc.)</w:t>
            </w:r>
          </w:p>
        </w:tc>
        <w:tc>
          <w:tcPr>
            <w:tcW w:type="dxa" w:w="3120"/>
            <w:tcMar>
              <w:top w:type="dxa" w:w="80"/>
              <w:left w:type="dxa" w:w="120"/>
              <w:bottom w:type="dxa" w:w="80"/>
              <w:right w:type="dxa" w:w="120"/>
            </w:tcMar>
            <w:vAlign w:val="center"/>
          </w:tcPr>
          <w:p>
            <w:r>
              <w:rPr>
                <w:b w:val="false"/>
                <w:bCs w:val="false"/>
                <w:color w:val="000000"/>
              </w:rPr>
              <w:t xml:space="preserve">$300–$1,500 (domains, tools, API credits, minor design help)</w:t>
            </w:r>
          </w:p>
        </w:tc>
        <w:tc>
          <w:tcPr>
            <w:tcW w:type="dxa" w:w="3120"/>
            <w:tcMar>
              <w:top w:type="dxa" w:w="80"/>
              <w:left w:type="dxa" w:w="120"/>
              <w:bottom w:type="dxa" w:w="80"/>
              <w:right w:type="dxa" w:w="120"/>
            </w:tcMar>
            <w:vAlign w:val="center"/>
          </w:tcPr>
          <w:p>
            <w:r>
              <w:rPr>
                <w:b w:val="false"/>
                <w:bCs w:val="false"/>
                <w:color w:val="000000"/>
              </w:rPr>
              <w:t xml:space="preserve">8–12 focused weeks</w:t>
            </w:r>
          </w:p>
        </w:tc>
      </w:tr>
      <w:tr>
        <w:tc>
          <w:tcPr>
            <w:tcW w:type="dxa" w:w="3120"/>
            <w:tcMar>
              <w:top w:type="dxa" w:w="80"/>
              <w:left w:type="dxa" w:w="120"/>
              <w:bottom w:type="dxa" w:w="80"/>
              <w:right w:type="dxa" w:w="120"/>
            </w:tcMar>
            <w:vAlign w:val="center"/>
          </w:tcPr>
          <w:p>
            <w:r>
              <w:rPr>
                <w:b w:val="false"/>
                <w:bCs w:val="false"/>
                <w:color w:val="000000"/>
              </w:rPr>
              <w:t xml:space="preserve">Hire a freelancer / small studio</w:t>
            </w:r>
          </w:p>
        </w:tc>
        <w:tc>
          <w:tcPr>
            <w:tcW w:type="dxa" w:w="3120"/>
            <w:tcMar>
              <w:top w:type="dxa" w:w="80"/>
              <w:left w:type="dxa" w:w="120"/>
              <w:bottom w:type="dxa" w:w="80"/>
              <w:right w:type="dxa" w:w="120"/>
            </w:tcMar>
            <w:vAlign w:val="center"/>
          </w:tcPr>
          <w:p>
            <w:r>
              <w:rPr>
                <w:b w:val="false"/>
                <w:bCs w:val="false"/>
                <w:color w:val="000000"/>
              </w:rPr>
              <w:t xml:space="preserve">$25,000–$50,000</w:t>
            </w:r>
          </w:p>
        </w:tc>
        <w:tc>
          <w:tcPr>
            <w:tcW w:type="dxa" w:w="3120"/>
            <w:tcMar>
              <w:top w:type="dxa" w:w="80"/>
              <w:left w:type="dxa" w:w="120"/>
              <w:bottom w:type="dxa" w:w="80"/>
              <w:right w:type="dxa" w:w="120"/>
            </w:tcMar>
            <w:vAlign w:val="center"/>
          </w:tcPr>
          <w:p>
            <w:r>
              <w:rPr>
                <w:b w:val="false"/>
                <w:bCs w:val="false"/>
                <w:color w:val="000000"/>
              </w:rPr>
              <w:t xml:space="preserve">Varies</w:t>
            </w:r>
          </w:p>
        </w:tc>
      </w:tr>
      <w:tr>
        <w:tc>
          <w:tcPr>
            <w:tcW w:type="dxa" w:w="3120"/>
            <w:tcMar>
              <w:top w:type="dxa" w:w="80"/>
              <w:left w:type="dxa" w:w="120"/>
              <w:bottom w:type="dxa" w:w="80"/>
              <w:right w:type="dxa" w:w="120"/>
            </w:tcMar>
            <w:vAlign w:val="center"/>
          </w:tcPr>
          <w:p>
            <w:r>
              <w:rPr>
                <w:b w:val="false"/>
                <w:bCs w:val="false"/>
                <w:color w:val="000000"/>
              </w:rPr>
              <w:t xml:space="preserve">Agency, more polished result</w:t>
            </w:r>
          </w:p>
        </w:tc>
        <w:tc>
          <w:tcPr>
            <w:tcW w:type="dxa" w:w="3120"/>
            <w:tcMar>
              <w:top w:type="dxa" w:w="80"/>
              <w:left w:type="dxa" w:w="120"/>
              <w:bottom w:type="dxa" w:w="80"/>
              <w:right w:type="dxa" w:w="120"/>
            </w:tcMar>
            <w:vAlign w:val="center"/>
          </w:tcPr>
          <w:p>
            <w:r>
              <w:rPr>
                <w:b w:val="false"/>
                <w:bCs w:val="false"/>
                <w:color w:val="000000"/>
              </w:rPr>
              <w:t xml:space="preserve">$50,000–$80,000+</w:t>
            </w:r>
          </w:p>
        </w:tc>
        <w:tc>
          <w:tcPr>
            <w:tcW w:type="dxa" w:w="3120"/>
            <w:tcMar>
              <w:top w:type="dxa" w:w="80"/>
              <w:left w:type="dxa" w:w="120"/>
              <w:bottom w:type="dxa" w:w="80"/>
              <w:right w:type="dxa" w:w="120"/>
            </w:tcMar>
            <w:vAlign w:val="center"/>
          </w:tcPr>
          <w:p>
            <w:r>
              <w:rPr>
                <w:b w:val="false"/>
                <w:bCs w:val="false"/>
                <w:color w:val="000000"/>
              </w:rPr>
              <w:t xml:space="preserve">Varies</w:t>
            </w:r>
          </w:p>
        </w:tc>
      </w:tr>
    </w:tbl>
    <w:p>
      <w:pPr>
        <w:spacing w:after="160"/>
      </w:pPr>
      <w:r>
        <w:rPr>
          <w:b w:val="false"/>
          <w:bCs w:val="false"/>
          <w:i w:val="false"/>
          <w:iCs w:val="false"/>
        </w:rPr>
        <w:t xml:space="preserve">Recommended path given the founder-time constraint described throughout this documentation set: Option A, bringing in paid help only for specific pieces (e.g. UI polish or an ERP connector) once there's revenue to justify it. See the Build Timeline document for the phased schedule this maps to.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2026-09-16T02:17:16.575Z</dcterms:created>
  <dcterms:modified xsi:type="dcterms:W3CDTF">2026-09-16T02:17:16.584Z</dcterms:modified>
</cp:coreProperties>
</file>

<file path=docProps/custom.xml><?xml version="1.0" encoding="utf-8"?>
<Properties xmlns="http://schemas.openxmlformats.org/officeDocument/2006/custom-properties" xmlns:vt="http://schemas.openxmlformats.org/officeDocument/2006/docPropsVTypes"/>
</file>