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Manual Timetable Allocation – Test Results</w:t>
      </w:r>
    </w:p>
    <w:p>
      <w:pPr>
        <w:pStyle w:val="Subtitle"/>
      </w:pPr>
      <w:r>
        <w:t>ATC Timetable Management System (TMS) – refactoredCodes | Test date: 2026-09-04</w:t>
      </w:r>
    </w:p>
    <w:p>
      <w:pPr>
        <w:pStyle w:val="Heading1"/>
      </w:pPr>
      <w:r>
        <w:t>1. Scope and Method</w:t>
      </w:r>
    </w:p>
    <w:p>
      <w:r>
        <w:t>This report covers an integration test of the manual timetable allocation module (</w:t>
      </w:r>
      <w:r>
        <w:rPr>
          <w:rFonts w:ascii="Consolas" w:hAnsi="Consolas"/>
          <w:sz w:val="20"/>
        </w:rPr>
        <w:t>models/manualTimetableModel.js</w:t>
      </w:r>
      <w:r>
        <w:t>, function </w:t>
      </w:r>
      <w:r>
        <w:rPr>
          <w:rFonts w:ascii="Consolas" w:hAnsi="Consolas"/>
          <w:sz w:val="20"/>
        </w:rPr>
        <w:t>addtimetable()</w:t>
      </w:r>
      <w:r>
        <w:t>), including the collision checks (tutor, venue, program, program-type/slot compatibility), the capacity check with tolerance and underutilization logging, the co-teaching companion/cap logic, the weekly-hours guard, and the VETA/non-VETA semester-calendar overlap filter.</w:t>
      </w:r>
    </w:p>
    <w:p>
      <w:r>
        <w:t>An automated Node.js script created isolated, clearly-labelled test fixtures (tutors, venues, subjects) in the development database, called </w:t>
      </w:r>
      <w:r>
        <w:rPr>
          <w:rFonts w:ascii="Consolas" w:hAnsi="Consolas"/>
          <w:sz w:val="20"/>
        </w:rPr>
        <w:t>addtimetable()</w:t>
      </w:r>
      <w:r>
        <w:t> directly for each scenario below, verified the outcome against both the function’s returned log messages and the actual database rows, then deleted every fixture it created. No production or pre-existing data was read, modified, or affected.</w:t>
      </w:r>
    </w:p>
    <w:p>
      <w:pPr>
        <w:pStyle w:val="Heading1"/>
      </w:pPr>
      <w:r>
        <w:t>2. Results Summary</w:t>
      </w:r>
    </w:p>
    <w:p>
      <w:r>
        <w:rPr>
          <w:b/>
        </w:rPr>
        <w:t>13 of 13 scenarios passed.</w:t>
      </w:r>
      <w:r>
        <w:t> All collision, capacity, co-teaching, hours, and semester-overlap rules behaved as designed, including when combined in the same request.</w:t>
      </w:r>
    </w:p>
    <w:p>
      <w:pPr>
        <w:pStyle w:val="Heading1"/>
      </w:pPr>
      <w:r>
        <w:t>3. Test Cases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500"/>
        <w:gridCol w:w="1300"/>
        <w:gridCol w:w="3200"/>
        <w:gridCol w:w="2760"/>
        <w:gridCol w:w="1600"/>
      </w:tblGrid>
      <w:tr>
        <w:trPr>
          <w:tblHeader/>
        </w:trPr>
        <w:tc>
          <w:tcPr>
            <w:tcW w:w="500" w:type="dxa"/>
            <w:shd w:val="clear" w:color="auto" w:fill="1F386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w="1300" w:type="dxa"/>
            <w:shd w:val="clear" w:color="auto" w:fill="1F386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w="3200" w:type="dxa"/>
            <w:shd w:val="clear" w:color="auto" w:fill="1F3864"/>
          </w:tcPr>
          <w:p>
            <w:r>
              <w:rPr>
                <w:b/>
                <w:color w:val="FFFFFF"/>
              </w:rPr>
              <w:t>Test Description</w:t>
            </w:r>
          </w:p>
        </w:tc>
        <w:tc>
          <w:tcPr>
            <w:tcW w:w="2760" w:type="dxa"/>
            <w:shd w:val="clear" w:color="auto" w:fill="1F3864"/>
          </w:tcPr>
          <w:p>
            <w:r>
              <w:rPr>
                <w:b/>
                <w:color w:val="FFFFFF"/>
              </w:rPr>
              <w:t>Expected / Actual Outcome</w:t>
            </w:r>
          </w:p>
        </w:tc>
        <w:tc>
          <w:tcPr>
            <w:tcW w:w="1600" w:type="dxa"/>
            <w:shd w:val="clear" w:color="auto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A1 – Baseline</w:t>
            </w:r>
          </w:p>
        </w:tc>
        <w:tc>
          <w:tcPr>
            <w:tcW w:w="3200" w:type="dxa"/>
          </w:tcPr>
          <w:p>
            <w:r>
              <w:t>Single tutor, venue and program; no conflicts.</w:t>
            </w:r>
          </w:p>
        </w:tc>
        <w:tc>
          <w:tcPr>
            <w:tcW w:w="2760" w:type="dxa"/>
          </w:tcPr>
          <w:p>
            <w:r>
              <w:t>Assignment succeeds; one row inserted.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A2 – Tutor collision</w:t>
            </w:r>
          </w:p>
        </w:tc>
        <w:tc>
          <w:tcPr>
            <w:tcW w:w="3200" w:type="dxa"/>
          </w:tcPr>
          <w:p>
            <w:r>
              <w:t>Same tutor double-booked into the same day/slot, different venue and program.</w:t>
            </w:r>
          </w:p>
        </w:tc>
        <w:tc>
          <w:tcPr>
            <w:tcW w:w="2760" w:type="dxa"/>
          </w:tcPr>
          <w:p>
            <w:r>
              <w:t>Blocked – TUTOR COLLISION; no row inserted.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A3 – Venue collision</w:t>
            </w:r>
          </w:p>
        </w:tc>
        <w:tc>
          <w:tcPr>
            <w:tcW w:w="3200" w:type="dxa"/>
          </w:tcPr>
          <w:p>
            <w:r>
              <w:t>Different subject assigned to a venue and slot already in use.</w:t>
            </w:r>
          </w:p>
        </w:tc>
        <w:tc>
          <w:tcPr>
            <w:tcW w:w="2760" w:type="dxa"/>
          </w:tcPr>
          <w:p>
            <w:r>
              <w:t>Blocked – VENUE COLLISION; no row inserted.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A4 – Program collision</w:t>
            </w:r>
          </w:p>
        </w:tc>
        <w:tc>
          <w:tcPr>
            <w:tcW w:w="3200" w:type="dxa"/>
          </w:tcPr>
          <w:p>
            <w:r>
              <w:t>Same program, different subject and venue, same day/slot.</w:t>
            </w:r>
          </w:p>
        </w:tc>
        <w:tc>
          <w:tcPr>
            <w:tcW w:w="2760" w:type="dxa"/>
          </w:tcPr>
          <w:p>
            <w:r>
              <w:t>Blocked – PROGRAM COLLISION; no row inserted.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B1 – Type/slot mismatch</w:t>
            </w:r>
          </w:p>
        </w:tc>
        <w:tc>
          <w:tcPr>
            <w:tcW w:w="3200" w:type="dxa"/>
          </w:tcPr>
          <w:p>
            <w:r>
              <w:t>Evening-type program scheduled into a full-time-only slot.</w:t>
            </w:r>
          </w:p>
        </w:tc>
        <w:tc>
          <w:tcPr>
            <w:tcW w:w="2760" w:type="dxa"/>
          </w:tcPr>
          <w:p>
            <w:r>
              <w:t>Blocked – program type incompatible with slot; no row inserted.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C1 – Capacity exceeded</w:t>
            </w:r>
          </w:p>
        </w:tc>
        <w:tc>
          <w:tcPr>
            <w:tcW w:w="3200" w:type="dxa"/>
          </w:tcPr>
          <w:p>
            <w:r>
              <w:t>Class size 130 vs venue capacity 100 (exceeds the 20% tolerance).</w:t>
            </w:r>
          </w:p>
        </w:tc>
        <w:tc>
          <w:tcPr>
            <w:tcW w:w="2760" w:type="dxa"/>
          </w:tcPr>
          <w:p>
            <w:r>
              <w:t>Blocked – CAPACITY EXCEEDED; no row inserted.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C2 – Capacity within tolerance</w:t>
            </w:r>
          </w:p>
        </w:tc>
        <w:tc>
          <w:tcPr>
            <w:tcW w:w="3200" w:type="dxa"/>
          </w:tcPr>
          <w:p>
            <w:r>
              <w:t>Class size 115 vs venue capacity 100 (within the 20% tolerance).</w:t>
            </w:r>
          </w:p>
        </w:tc>
        <w:tc>
          <w:tcPr>
            <w:tcW w:w="2760" w:type="dxa"/>
          </w:tcPr>
          <w:p>
            <w:r>
              <w:t>Assignment succeeds.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C3 – Underutilization</w:t>
            </w:r>
          </w:p>
        </w:tc>
        <w:tc>
          <w:tcPr>
            <w:tcW w:w="3200" w:type="dxa"/>
          </w:tcPr>
          <w:p>
            <w:r>
              <w:t>Class size 20 vs venue capacity 100 (fills under 30% of the room).</w:t>
            </w:r>
          </w:p>
        </w:tc>
        <w:tc>
          <w:tcPr>
            <w:tcW w:w="2760" w:type="dxa"/>
          </w:tcPr>
          <w:p>
            <w:r>
              <w:t>Assignment succeeds; oversized-venue warning logged (non-blocking).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D1+D2 – Co-teaching</w:t>
            </w:r>
          </w:p>
        </w:tc>
        <w:tc>
          <w:tcPr>
            <w:tcW w:w="3200" w:type="dxa"/>
          </w:tcPr>
          <w:p>
            <w:r>
              <w:t>Two different tutors co-teach the same subject, venue and slot.</w:t>
            </w:r>
          </w:p>
        </w:tc>
        <w:tc>
          <w:tcPr>
            <w:tcW w:w="2760" w:type="dxa"/>
          </w:tcPr>
          <w:p>
            <w:r>
              <w:t>Both assignments succeed.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D3 – Co-teach cap</w:t>
            </w:r>
          </w:p>
        </w:tc>
        <w:tc>
          <w:tcPr>
            <w:tcW w:w="3200" w:type="dxa"/>
          </w:tcPr>
          <w:p>
            <w:r>
              <w:t>Third tutor attempts to join an already-full (2-tutor) co-taught session.</w:t>
            </w:r>
          </w:p>
        </w:tc>
        <w:tc>
          <w:tcPr>
            <w:tcW w:w="2760" w:type="dxa"/>
          </w:tcPr>
          <w:p>
            <w:r>
              <w:t>Blocked – CO-TEACH LIMIT REACHED; no row inserted.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E1+E2 – Co-teach, split venues</w:t>
            </w:r>
          </w:p>
        </w:tc>
        <w:tc>
          <w:tcPr>
            <w:tcW w:w="3200" w:type="dxa"/>
          </w:tcPr>
          <w:p>
            <w:r>
              <w:t>Co-teaching pair placed in two different venues, same day/slot.</w:t>
            </w:r>
          </w:p>
        </w:tc>
        <w:tc>
          <w:tcPr>
            <w:tcW w:w="2760" w:type="dxa"/>
          </w:tcPr>
          <w:p>
            <w:r>
              <w:t>Both assignments succeed (confirms the program-collision exemption, not just differing venues).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F1 – Hours limit</w:t>
            </w:r>
          </w:p>
        </w:tc>
        <w:tc>
          <w:tcPr>
            <w:tcW w:w="3200" w:type="dxa"/>
          </w:tcPr>
          <w:p>
            <w:r>
              <w:t>Remaining hours (1.0) less than the required double-slot increment (1.5).</w:t>
            </w:r>
          </w:p>
        </w:tc>
        <w:tc>
          <w:tcPr>
            <w:tcW w:w="2760" w:type="dxa"/>
          </w:tcPr>
          <w:p>
            <w:r>
              <w:t>Blocked before slot search; no row inserted, ltpa unchanged.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G1+G2 – Semester calendar</w:t>
            </w:r>
          </w:p>
        </w:tc>
        <w:tc>
          <w:tcPr>
            <w:tcW w:w="3200" w:type="dxa"/>
          </w:tcPr>
          <w:p>
            <w:r>
              <w:t>Non-VETA (Semester II) and VETA Level 3 (Semester I) programs sharing the same venue/day/slot; their real calendar months do not overlap.</w:t>
            </w:r>
          </w:p>
        </w:tc>
        <w:tc>
          <w:tcPr>
            <w:tcW w:w="2760" w:type="dxa"/>
          </w:tcPr>
          <w:p>
            <w:r>
              <w:t>Both assignments succeed (confirms the semester-calendar overlap filter).</w:t>
            </w:r>
          </w:p>
        </w:tc>
        <w:tc>
          <w:tcPr>
            <w:tcW w:w="1600" w:type="dxa"/>
          </w:tcPr>
          <w:p>
            <w:r>
              <w:rPr>
                <w:b/>
                <w:color w:val="2E7D32"/>
              </w:rPr>
              <w:t>PASS</w:t>
            </w:r>
          </w:p>
        </w:tc>
      </w:tr>
    </w:tbl>
    <w:p/>
    <w:p>
      <w:pPr>
        <w:pStyle w:val="Heading1"/>
      </w:pPr>
      <w:r>
        <w:t>4. Notes</w:t>
      </w:r>
    </w:p>
    <w:p>
      <w:r>
        <w:t>• All fixtures used clearly-labelled TEST_ identifiers and were fully deleted after the run; a post-run query confirmed zero leftover rows in users, venues, subjects, and extracted_timetables.</w:t>
      </w:r>
    </w:p>
    <w:p>
      <w:r>
        <w:t>• Tests were run against a local development copy of the database, not the production dataset.</w:t>
      </w:r>
    </w:p>
    <w:p>
      <w:r>
        <w:t>• Scenarios 5 and 12 were each confirmed to block via a valid early-exit path in the allocation logic (double-slot preparation and the weekly-hours guard, respectively) rather than the later collision-reasons list; both correctly resulted in zero rows inserted.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rFonts w:ascii="Calibri" w:hAnsi="Calibri"/>
      <w:b/>
      <w:sz w:val="40"/>
      <w:color w:val="1F3864"/>
    </w:rPr>
  </w:style>
  <w:style w:type="paragraph" w:styleId="Subtitle">
    <w:name w:val="Subtitle"/>
    <w:basedOn w:val="Normal"/>
    <w:pPr>
      <w:spacing w:after="240"/>
    </w:pPr>
    <w:rPr>
      <w:i/>
      <w:sz w:val="22"/>
      <w:color w:val="595959"/>
    </w:rPr>
  </w:style>
  <w:style w:type="paragraph" w:styleId="Heading1">
    <w:name w:val="heading 1"/>
    <w:basedOn w:val="Normal"/>
    <w:pPr>
      <w:spacing w:before="240" w:after="120"/>
    </w:pPr>
    <w:rPr>
      <w:b/>
      <w:sz w:val="28"/>
      <w:color w:val="1F386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Timetable Allocation - Test Results</dc:title>
  <dc:creator>Claude Code</dc:creator>
  <cp:lastModifiedBy>Claude Code</cp:lastModifiedBy>
  <dcterms:created xsi:type="dcterms:W3CDTF">2026-09-04T00:00:00Z</dcterms:created>
  <dcterms:modified xsi:type="dcterms:W3CDTF">2026-09-04T00:00:00Z</dcterms:modified>
</cp:coreProperties>
</file>