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Georgia" w:cs="Georgia" w:eastAsia="Georgia" w:hAnsi="Georgia"/>
          <w:b/>
          <w:bCs/>
          <w:color w:val="C9A227"/>
          <w:sz w:val="24"/>
          <w:szCs w:val="24"/>
        </w:rPr>
        <w:t xml:space="preserve">PHASE 0</w:t>
      </w:r>
    </w:p>
    <w:p>
      <w:pPr>
        <w:spacing w:after="200" w:before="200"/>
        <w:jc w:val="center"/>
      </w:pPr>
      <w:r>
        <w:rPr>
          <w:rFonts w:ascii="Georgia" w:cs="Georgia" w:eastAsia="Georgia" w:hAnsi="Georgia"/>
          <w:b/>
          <w:bCs/>
          <w:color w:val="3B2352"/>
          <w:sz w:val="44"/>
          <w:szCs w:val="44"/>
        </w:rPr>
        <w:t xml:space="preserve">Creative Research &amp; Discovery</w:t>
      </w:r>
    </w:p>
    <w:p>
      <w:pPr>
        <w:spacing w:after="600"/>
        <w:jc w:val="center"/>
      </w:pPr>
      <w:r>
        <w:rPr>
          <w:rFonts w:ascii="Georgia" w:cs="Georgia" w:eastAsia="Georgia" w:hAnsi="Georgia"/>
          <w:i/>
          <w:iCs/>
          <w:color w:val="1C1C1C"/>
          <w:sz w:val="26"/>
          <w:szCs w:val="26"/>
        </w:rPr>
        <w:t xml:space="preserve">A Digital Brand &amp; Experience Strategy for the Victoria Falls Boxing Academy Website</w:t>
      </w:r>
    </w:p>
    <w:p>
      <w:pPr>
        <w:spacing w:after="100"/>
        <w:jc w:val="center"/>
      </w:pPr>
      <w:r>
        <w:rPr>
          <w:rFonts w:ascii="Calibri" w:cs="Calibri" w:eastAsia="Calibri" w:hAnsi="Calibri"/>
          <w:color w:val="595959"/>
          <w:sz w:val="22"/>
          <w:szCs w:val="22"/>
        </w:rPr>
        <w:t xml:space="preserve">Prepared for Coach Tobias Mupfuti &amp; the Victoria Falls Boxing Academy</w:t>
      </w:r>
    </w:p>
    <w:p>
      <w:pPr>
        <w:spacing w:after="1200"/>
        <w:jc w:val="center"/>
      </w:pPr>
      <w:r>
        <w:rPr>
          <w:rFonts w:ascii="Calibri" w:cs="Calibri" w:eastAsia="Calibri" w:hAnsi="Calibri"/>
          <w:color w:val="595959"/>
          <w:sz w:val="20"/>
          <w:szCs w:val="20"/>
        </w:rPr>
        <w:t xml:space="preserve">Victoria Falls, Zimbabwe · Discovery Document · v1.0</w:t>
      </w:r>
    </w:p>
    <w:p>
      <w:pPr>
        <w:pBdr>
          <w:left w:val="single" w:color="C9A227" w:sz="12" w:space="8"/>
        </w:pBdr>
        <w:spacing w:after="200" w:before="80" w:line="276"/>
        <w:ind w:left="360"/>
      </w:pPr>
      <w:r>
        <w:rPr>
          <w:rFonts w:ascii="Calibri" w:cs="Calibri" w:eastAsia="Calibri" w:hAnsi="Calibri"/>
          <w:i/>
          <w:iCs/>
          <w:color w:val="595959"/>
          <w:sz w:val="20"/>
          <w:szCs w:val="20"/>
        </w:rPr>
        <w:t xml:space="preserve">This document is research and strategy only. No code, wireframes, or UI designs are included in Phase 0. All facts below are drawn from publicly available sources cited by name; anything not independently verifiable is explicitly flagged for confirmation with the academy.</w:t>
      </w:r>
    </w:p>
    <w:p>
      <w:r>
        <w:br w:type="page"/>
      </w:r>
    </w:p>
    <w:p>
      <w:pPr>
        <w:pStyle w:val="Heading1"/>
        <w:pBdr>
          <w:bottom w:val="single" w:color="C9A227" w:sz="8" w:space="4"/>
        </w:pBdr>
        <w:spacing w:after="240" w:before="480"/>
      </w:pPr>
      <w:r>
        <w:rPr>
          <w:rFonts w:ascii="Georgia" w:cs="Georgia" w:eastAsia="Georgia" w:hAnsi="Georgia"/>
          <w:b/>
          <w:bCs/>
          <w:color w:val="3B2352"/>
          <w:sz w:val="32"/>
          <w:szCs w:val="32"/>
        </w:rPr>
        <w:t xml:space="preserve">Table of Contents</w:t>
      </w:r>
    </w:p>
    <w:p>
      <w:pPr>
        <w:spacing w:after="160" w:line="300"/>
      </w:pPr>
      <w:r>
        <w:rPr>
          <w:rFonts w:ascii="Calibri" w:cs="Calibri" w:eastAsia="Calibri" w:hAnsi="Calibri"/>
          <w:b w:val="false"/>
          <w:bCs w:val="false"/>
          <w:i w:val="false"/>
          <w:iCs w:val="false"/>
          <w:color w:val="1C1C1C"/>
          <w:sz w:val="22"/>
          <w:szCs w:val="22"/>
        </w:rPr>
        <w:t xml:space="preserve">1. Executive Summary</w:t>
      </w:r>
    </w:p>
    <w:p>
      <w:pPr>
        <w:spacing w:after="160" w:line="300"/>
      </w:pPr>
      <w:r>
        <w:rPr>
          <w:rFonts w:ascii="Calibri" w:cs="Calibri" w:eastAsia="Calibri" w:hAnsi="Calibri"/>
          <w:b w:val="false"/>
          <w:bCs w:val="false"/>
          <w:i w:val="false"/>
          <w:iCs w:val="false"/>
          <w:color w:val="1C1C1C"/>
          <w:sz w:val="22"/>
          <w:szCs w:val="22"/>
        </w:rPr>
        <w:t xml:space="preserve">2. Academy Research</w:t>
      </w:r>
    </w:p>
    <w:p>
      <w:pPr>
        <w:spacing w:after="160" w:line="300"/>
      </w:pPr>
      <w:r>
        <w:rPr>
          <w:rFonts w:ascii="Calibri" w:cs="Calibri" w:eastAsia="Calibri" w:hAnsi="Calibri"/>
          <w:b w:val="false"/>
          <w:bCs w:val="false"/>
          <w:i w:val="false"/>
          <w:iCs w:val="false"/>
          <w:color w:val="1C1C1C"/>
          <w:sz w:val="22"/>
          <w:szCs w:val="22"/>
        </w:rPr>
        <w:t xml:space="preserve">3. Brand Analysis</w:t>
      </w:r>
    </w:p>
    <w:p>
      <w:pPr>
        <w:spacing w:after="160" w:line="300"/>
      </w:pPr>
      <w:r>
        <w:rPr>
          <w:rFonts w:ascii="Calibri" w:cs="Calibri" w:eastAsia="Calibri" w:hAnsi="Calibri"/>
          <w:b w:val="false"/>
          <w:bCs w:val="false"/>
          <w:i w:val="false"/>
          <w:iCs w:val="false"/>
          <w:color w:val="1C1C1C"/>
          <w:sz w:val="22"/>
          <w:szCs w:val="22"/>
        </w:rPr>
        <w:t xml:space="preserve">4. Competitor Analysis</w:t>
      </w:r>
    </w:p>
    <w:p>
      <w:pPr>
        <w:spacing w:after="160" w:line="300"/>
      </w:pPr>
      <w:r>
        <w:rPr>
          <w:rFonts w:ascii="Calibri" w:cs="Calibri" w:eastAsia="Calibri" w:hAnsi="Calibri"/>
          <w:b w:val="false"/>
          <w:bCs w:val="false"/>
          <w:i w:val="false"/>
          <w:iCs w:val="false"/>
          <w:color w:val="1C1C1C"/>
          <w:sz w:val="22"/>
          <w:szCs w:val="22"/>
        </w:rPr>
        <w:t xml:space="preserve">5. Inspiration Analysis</w:t>
      </w:r>
    </w:p>
    <w:p>
      <w:pPr>
        <w:spacing w:after="160" w:line="300"/>
      </w:pPr>
      <w:r>
        <w:rPr>
          <w:rFonts w:ascii="Calibri" w:cs="Calibri" w:eastAsia="Calibri" w:hAnsi="Calibri"/>
          <w:b w:val="false"/>
          <w:bCs w:val="false"/>
          <w:i w:val="false"/>
          <w:iCs w:val="false"/>
          <w:color w:val="1C1C1C"/>
          <w:sz w:val="22"/>
          <w:szCs w:val="22"/>
        </w:rPr>
        <w:t xml:space="preserve">6. Target Audience &amp; Personas</w:t>
      </w:r>
    </w:p>
    <w:p>
      <w:pPr>
        <w:spacing w:after="160" w:line="300"/>
      </w:pPr>
      <w:r>
        <w:rPr>
          <w:rFonts w:ascii="Calibri" w:cs="Calibri" w:eastAsia="Calibri" w:hAnsi="Calibri"/>
          <w:b w:val="false"/>
          <w:bCs w:val="false"/>
          <w:i w:val="false"/>
          <w:iCs w:val="false"/>
          <w:color w:val="1C1C1C"/>
          <w:sz w:val="22"/>
          <w:szCs w:val="22"/>
        </w:rPr>
        <w:t xml:space="preserve">7. Website Goals</w:t>
      </w:r>
    </w:p>
    <w:p>
      <w:pPr>
        <w:spacing w:after="160" w:line="300"/>
      </w:pPr>
      <w:r>
        <w:rPr>
          <w:rFonts w:ascii="Calibri" w:cs="Calibri" w:eastAsia="Calibri" w:hAnsi="Calibri"/>
          <w:b w:val="false"/>
          <w:bCs w:val="false"/>
          <w:i w:val="false"/>
          <w:iCs w:val="false"/>
          <w:color w:val="1C1C1C"/>
          <w:sz w:val="22"/>
          <w:szCs w:val="22"/>
        </w:rPr>
        <w:t xml:space="preserve">8. Content Audit</w:t>
      </w:r>
    </w:p>
    <w:p>
      <w:pPr>
        <w:spacing w:after="160" w:line="300"/>
      </w:pPr>
      <w:r>
        <w:rPr>
          <w:rFonts w:ascii="Calibri" w:cs="Calibri" w:eastAsia="Calibri" w:hAnsi="Calibri"/>
          <w:b w:val="false"/>
          <w:bCs w:val="false"/>
          <w:i w:val="false"/>
          <w:iCs w:val="false"/>
          <w:color w:val="1C1C1C"/>
          <w:sz w:val="22"/>
          <w:szCs w:val="22"/>
        </w:rPr>
        <w:t xml:space="preserve">9. Design Recommendations</w:t>
      </w:r>
    </w:p>
    <w:p>
      <w:pPr>
        <w:spacing w:after="160" w:line="300"/>
      </w:pPr>
      <w:r>
        <w:rPr>
          <w:rFonts w:ascii="Calibri" w:cs="Calibri" w:eastAsia="Calibri" w:hAnsi="Calibri"/>
          <w:b w:val="false"/>
          <w:bCs w:val="false"/>
          <w:i w:val="false"/>
          <w:iCs w:val="false"/>
          <w:color w:val="1C1C1C"/>
          <w:sz w:val="22"/>
          <w:szCs w:val="22"/>
        </w:rPr>
        <w:t xml:space="preserve">10. Motion &amp; 3D Recommendations</w:t>
      </w:r>
    </w:p>
    <w:p>
      <w:pPr>
        <w:spacing w:after="160" w:line="300"/>
      </w:pPr>
      <w:r>
        <w:rPr>
          <w:rFonts w:ascii="Calibri" w:cs="Calibri" w:eastAsia="Calibri" w:hAnsi="Calibri"/>
          <w:b w:val="false"/>
          <w:bCs w:val="false"/>
          <w:i w:val="false"/>
          <w:iCs w:val="false"/>
          <w:color w:val="1C1C1C"/>
          <w:sz w:val="22"/>
          <w:szCs w:val="22"/>
        </w:rPr>
        <w:t xml:space="preserve">11. Technical Recommendations</w:t>
      </w:r>
    </w:p>
    <w:p>
      <w:pPr>
        <w:spacing w:after="160" w:line="300"/>
      </w:pPr>
      <w:r>
        <w:rPr>
          <w:rFonts w:ascii="Calibri" w:cs="Calibri" w:eastAsia="Calibri" w:hAnsi="Calibri"/>
          <w:b w:val="false"/>
          <w:bCs w:val="false"/>
          <w:i w:val="false"/>
          <w:iCs w:val="false"/>
          <w:color w:val="1C1C1C"/>
          <w:sz w:val="22"/>
          <w:szCs w:val="22"/>
        </w:rPr>
        <w:t xml:space="preserve">12. SEO Recommendations</w:t>
      </w:r>
    </w:p>
    <w:p>
      <w:pPr>
        <w:spacing w:after="160" w:line="300"/>
      </w:pPr>
      <w:r>
        <w:rPr>
          <w:rFonts w:ascii="Calibri" w:cs="Calibri" w:eastAsia="Calibri" w:hAnsi="Calibri"/>
          <w:b w:val="false"/>
          <w:bCs w:val="false"/>
          <w:i w:val="false"/>
          <w:iCs w:val="false"/>
          <w:color w:val="1C1C1C"/>
          <w:sz w:val="22"/>
          <w:szCs w:val="22"/>
        </w:rPr>
        <w:t xml:space="preserve">13. Risks &amp; Opportunities</w:t>
      </w:r>
    </w:p>
    <w:p>
      <w:pPr>
        <w:spacing w:after="160" w:line="300"/>
      </w:pPr>
      <w:r>
        <w:rPr>
          <w:rFonts w:ascii="Calibri" w:cs="Calibri" w:eastAsia="Calibri" w:hAnsi="Calibri"/>
          <w:b w:val="false"/>
          <w:bCs w:val="false"/>
          <w:i w:val="false"/>
          <w:iCs w:val="false"/>
          <w:color w:val="1C1C1C"/>
          <w:sz w:val="22"/>
          <w:szCs w:val="22"/>
        </w:rPr>
        <w:t xml:space="preserve">14. Missing Content — Requests for the Academy</w:t>
      </w:r>
    </w:p>
    <w:p>
      <w:pPr>
        <w:spacing w:after="160" w:line="300"/>
      </w:pPr>
      <w:r>
        <w:rPr>
          <w:rFonts w:ascii="Calibri" w:cs="Calibri" w:eastAsia="Calibri" w:hAnsi="Calibri"/>
          <w:b w:val="false"/>
          <w:bCs w:val="false"/>
          <w:i w:val="false"/>
          <w:iCs w:val="false"/>
          <w:color w:val="1C1C1C"/>
          <w:sz w:val="22"/>
          <w:szCs w:val="22"/>
        </w:rPr>
        <w:t xml:space="preserve">15. Final Creative Direction</w:t>
      </w:r>
    </w:p>
    <w:p>
      <w:r>
        <w:br w:type="page"/>
      </w:r>
    </w:p>
    <w:p>
      <w:pPr>
        <w:pStyle w:val="Heading1"/>
        <w:pBdr>
          <w:bottom w:val="single" w:color="C9A227" w:sz="8" w:space="4"/>
        </w:pBdr>
        <w:spacing w:after="240" w:before="480"/>
      </w:pPr>
      <w:r>
        <w:rPr>
          <w:rFonts w:ascii="Georgia" w:cs="Georgia" w:eastAsia="Georgia" w:hAnsi="Georgia"/>
          <w:b/>
          <w:bCs/>
          <w:color w:val="3B2352"/>
          <w:sz w:val="32"/>
          <w:szCs w:val="32"/>
        </w:rPr>
        <w:t xml:space="preserve">1. Executive Summary</w:t>
      </w:r>
    </w:p>
    <w:p>
      <w:pPr>
        <w:spacing w:after="160" w:line="300"/>
      </w:pPr>
      <w:r>
        <w:rPr>
          <w:rFonts w:ascii="Calibri" w:cs="Calibri" w:eastAsia="Calibri" w:hAnsi="Calibri"/>
          <w:b w:val="false"/>
          <w:bCs w:val="false"/>
          <w:i w:val="false"/>
          <w:iCs w:val="false"/>
          <w:color w:val="1C1C1C"/>
          <w:sz w:val="22"/>
          <w:szCs w:val="22"/>
        </w:rPr>
        <w:t xml:space="preserve">The Victoria Falls Boxing Academy (VFBA) is not a gym that needs a website — it is a true story that needs a stage. Founded by Tobias Mupfuti, a man who survived homelessness as a child and turned boxing into a vehicle for rescuing other children from the same fate, VFBA has grown from training under trees to operating one of the biggest boxing facilities in Victoria Falls, complete with an attached children's home. That story has already been validated on the world stage: it is the true-life inspiration for Rise (2025), the first Zimbabwean film ever selected for the Tribeca Festival and a 2026 Academy Awards-eligible short, in which Tobias appears as executive producer.</w:t>
      </w:r>
    </w:p>
    <w:p>
      <w:pPr>
        <w:spacing w:after="160" w:line="300"/>
      </w:pPr>
      <w:r>
        <w:rPr>
          <w:rFonts w:ascii="Calibri" w:cs="Calibri" w:eastAsia="Calibri" w:hAnsi="Calibri"/>
          <w:b w:val="false"/>
          <w:bCs w:val="false"/>
          <w:i w:val="false"/>
          <w:iCs w:val="false"/>
          <w:color w:val="1C1C1C"/>
          <w:sz w:val="22"/>
          <w:szCs w:val="22"/>
        </w:rPr>
        <w:t xml:space="preserve">This places VFBA in a rare position for an organisation of its size: it has a globally-recognised cinematic property, a charismatic real protagonist, and a mission (rescuing at-risk children through discipline and sport) that is instantly legible to an international audience — but almost no digital presence of its own. Today, VFBA is represented online only by a modest Facebook page, a small Instagram account, and third-party coverage from NGOs (MATTER, It Gym), Zimbabwean newspapers, and film press. There is no verified official website, no public brand guideline, and no confirmed logo file.</w:t>
      </w:r>
    </w:p>
    <w:p>
      <w:pPr>
        <w:spacing w:after="160" w:line="300"/>
      </w:pPr>
      <w:r>
        <w:rPr>
          <w:rFonts w:ascii="Calibri" w:cs="Calibri" w:eastAsia="Calibri" w:hAnsi="Calibri"/>
          <w:b w:val="false"/>
          <w:bCs w:val="false"/>
          <w:i w:val="false"/>
          <w:iCs w:val="false"/>
          <w:color w:val="1C1C1C"/>
          <w:sz w:val="22"/>
          <w:szCs w:val="22"/>
        </w:rPr>
        <w:t xml:space="preserve">This is both the core risk and the core opportunity of the project. The website has permission — through Rise, through the Tribeca and Academy Awards attention, through years of grassroots news coverage — to be built as a cinematic, award-calibre digital experience, not a template gym site. But because so little brand material is verified, this Phase 0 document treats confirmed facts and creative recommendations as two clearly separate categories throughout, and closes with a specific list of assets and information to request from Coach Tobias before Phase 1 (Design) begins.</w:t>
      </w:r>
    </w:p>
    <w:p>
      <w:pPr>
        <w:pStyle w:val="Heading1"/>
        <w:pBdr>
          <w:bottom w:val="single" w:color="C9A227" w:sz="8" w:space="4"/>
        </w:pBdr>
        <w:spacing w:after="240" w:before="480"/>
      </w:pPr>
      <w:r>
        <w:rPr>
          <w:rFonts w:ascii="Georgia" w:cs="Georgia" w:eastAsia="Georgia" w:hAnsi="Georgia"/>
          <w:b/>
          <w:bCs/>
          <w:color w:val="3B2352"/>
          <w:sz w:val="32"/>
          <w:szCs w:val="32"/>
        </w:rPr>
        <w:t xml:space="preserve">2. Academy Research</w:t>
      </w:r>
    </w:p>
    <w:p>
      <w:pPr>
        <w:pStyle w:val="Heading2"/>
        <w:spacing w:after="160" w:before="320"/>
      </w:pPr>
      <w:r>
        <w:rPr>
          <w:rFonts w:ascii="Georgia" w:cs="Georgia" w:eastAsia="Georgia" w:hAnsi="Georgia"/>
          <w:b/>
          <w:bCs/>
          <w:color w:val="1C1C1C"/>
          <w:sz w:val="26"/>
          <w:szCs w:val="26"/>
        </w:rPr>
        <w:t xml:space="preserve">2.1 Verified History &amp; Facts</w:t>
      </w:r>
    </w:p>
    <w:p>
      <w:pPr>
        <w:pStyle w:val="ListParagraph"/>
        <w:numPr>
          <w:ilvl w:val="0"/>
          <w:numId w:val="2"/>
        </w:numPr>
        <w:spacing w:after="100"/>
      </w:pPr>
      <w:r>
        <w:rPr>
          <w:rFonts w:ascii="Calibri" w:cs="Calibri" w:eastAsia="Calibri" w:hAnsi="Calibri"/>
          <w:color w:val="1C1C1C"/>
          <w:sz w:val="22"/>
          <w:szCs w:val="22"/>
        </w:rPr>
        <w:t xml:space="preserve">Founder: Tobias Mupfuti, founder, head coach and director of the Victoria Falls Boxing Academy.</w:t>
      </w:r>
    </w:p>
    <w:p>
      <w:pPr>
        <w:pStyle w:val="ListParagraph"/>
        <w:numPr>
          <w:ilvl w:val="0"/>
          <w:numId w:val="2"/>
        </w:numPr>
        <w:spacing w:after="100"/>
      </w:pPr>
      <w:r>
        <w:rPr>
          <w:rFonts w:ascii="Calibri" w:cs="Calibri" w:eastAsia="Calibri" w:hAnsi="Calibri"/>
          <w:color w:val="1C1C1C"/>
          <w:sz w:val="22"/>
          <w:szCs w:val="22"/>
        </w:rPr>
        <w:t xml:space="preserve">Origin story: Mupfuti was abandoned by his parents as a child and survived a period of homelessness in Victoria Falls before discovering boxing and becoming a coach.</w:t>
      </w:r>
    </w:p>
    <w:p>
      <w:pPr>
        <w:pStyle w:val="ListParagraph"/>
        <w:numPr>
          <w:ilvl w:val="0"/>
          <w:numId w:val="2"/>
        </w:numPr>
        <w:spacing w:after="100"/>
      </w:pPr>
      <w:r>
        <w:rPr>
          <w:rFonts w:ascii="Calibri" w:cs="Calibri" w:eastAsia="Calibri" w:hAnsi="Calibri"/>
          <w:color w:val="1C1C1C"/>
          <w:sz w:val="22"/>
          <w:szCs w:val="22"/>
        </w:rPr>
        <w:t xml:space="preserve">Timeline: the idea for the academy was conceived around 2010 and launched in 2013, starting with two boxers. Training initially took place outdoors under trees, then in a rented hall in the Victoria Falls industrial area using a hired ring.</w:t>
      </w:r>
    </w:p>
    <w:p>
      <w:pPr>
        <w:pStyle w:val="ListParagraph"/>
        <w:numPr>
          <w:ilvl w:val="0"/>
          <w:numId w:val="2"/>
        </w:numPr>
        <w:spacing w:after="100"/>
      </w:pPr>
      <w:r>
        <w:rPr>
          <w:rFonts w:ascii="Calibri" w:cs="Calibri" w:eastAsia="Calibri" w:hAnsi="Calibri"/>
          <w:color w:val="1C1C1C"/>
          <w:sz w:val="22"/>
          <w:szCs w:val="22"/>
        </w:rPr>
        <w:t xml:space="preserve">Growth: by 2024, press coverage described roughly 35 registered boxers across youth and junior weight classes; a separate 2025 profile described around 40 children training for free, with about 8 living on-site.</w:t>
      </w:r>
    </w:p>
    <w:p>
      <w:pPr>
        <w:pStyle w:val="ListParagraph"/>
        <w:numPr>
          <w:ilvl w:val="0"/>
          <w:numId w:val="2"/>
        </w:numPr>
        <w:spacing w:after="100"/>
      </w:pPr>
      <w:r>
        <w:rPr>
          <w:rFonts w:ascii="Calibri" w:cs="Calibri" w:eastAsia="Calibri" w:hAnsi="Calibri"/>
          <w:color w:val="1C1C1C"/>
          <w:sz w:val="22"/>
          <w:szCs w:val="22"/>
        </w:rPr>
        <w:t xml:space="preserve">New facility: in 2023, a purpose-built boxing arena was opened in Chinotimba, Victoria Falls, described in local press as one of the biggest gyms in the city. It was commissioned by veteran boxing promoter Stalin Mau Mau. The facility also includes a private room used for meditation and yoga sessions.</w:t>
      </w:r>
    </w:p>
    <w:p>
      <w:pPr>
        <w:pStyle w:val="ListParagraph"/>
        <w:numPr>
          <w:ilvl w:val="0"/>
          <w:numId w:val="2"/>
        </w:numPr>
        <w:spacing w:after="100"/>
      </w:pPr>
      <w:r>
        <w:rPr>
          <w:rFonts w:ascii="Calibri" w:cs="Calibri" w:eastAsia="Calibri" w:hAnsi="Calibri"/>
          <w:color w:val="1C1C1C"/>
          <w:sz w:val="22"/>
          <w:szCs w:val="22"/>
        </w:rPr>
        <w:t xml:space="preserve">Children's Home: VFBA operates alongside a Children's Home for orphaned and at-risk boys, some of whom lived and slept at the gym (including, historically, under the boxing ring itself) before proper housing existed. International partners It Gym (fitness entrepreneur Gina Kaiser) and the nonprofit MATTER have supported fundraising for a two-phase build: Phase 1, the income-generating public gym, and Phase 2, the residential children's home.</w:t>
      </w:r>
    </w:p>
    <w:p>
      <w:pPr>
        <w:pStyle w:val="ListParagraph"/>
        <w:numPr>
          <w:ilvl w:val="0"/>
          <w:numId w:val="2"/>
        </w:numPr>
        <w:spacing w:after="100"/>
      </w:pPr>
      <w:r>
        <w:rPr>
          <w:rFonts w:ascii="Calibri" w:cs="Calibri" w:eastAsia="Calibri" w:hAnsi="Calibri"/>
          <w:color w:val="1C1C1C"/>
          <w:sz w:val="22"/>
          <w:szCs w:val="22"/>
        </w:rPr>
        <w:t xml:space="preserve">Fundraising milestones: a St. Patrick's Day fundraiser organised by It Gym raised close to US$50,000 toward Phase 1; It Gym also hosted an 'Erg-a-thon' fundraiser on 17 February 2024 with proceeds going entirely to VFBA.</w:t>
      </w:r>
    </w:p>
    <w:p>
      <w:pPr>
        <w:pStyle w:val="ListParagraph"/>
        <w:numPr>
          <w:ilvl w:val="0"/>
          <w:numId w:val="2"/>
        </w:numPr>
        <w:spacing w:after="100"/>
      </w:pPr>
      <w:r>
        <w:rPr>
          <w:rFonts w:ascii="Calibri" w:cs="Calibri" w:eastAsia="Calibri" w:hAnsi="Calibri"/>
          <w:color w:val="1C1C1C"/>
          <w:sz w:val="22"/>
          <w:szCs w:val="22"/>
        </w:rPr>
        <w:t xml:space="preserve">Athletes: named boxers who have represented the academy in tournaments include Lennox 'The Hurricane' Chigango and Crein 'The Beast' Moyo.</w:t>
      </w:r>
    </w:p>
    <w:p>
      <w:pPr>
        <w:pStyle w:val="ListParagraph"/>
        <w:numPr>
          <w:ilvl w:val="0"/>
          <w:numId w:val="2"/>
        </w:numPr>
        <w:spacing w:after="100"/>
      </w:pPr>
      <w:r>
        <w:rPr>
          <w:rFonts w:ascii="Calibri" w:cs="Calibri" w:eastAsia="Calibri" w:hAnsi="Calibri"/>
          <w:color w:val="1C1C1C"/>
          <w:sz w:val="22"/>
          <w:szCs w:val="22"/>
        </w:rPr>
        <w:t xml:space="preserve">Tournaments: VFBA has hosted a five-nation youth tournament in Victoria Falls with boxers from Zimbabwe, Malawi, Zambia, Botswana and Namibia. Regional press (2024) describes VFBA as the most active boxing club in Matabeleland North province, operating alongside clubs in Hwange and Binga, at a time when national amateur boxing has struggled with funding and bout frequency.</w:t>
      </w:r>
    </w:p>
    <w:p>
      <w:pPr>
        <w:pStyle w:val="Heading2"/>
        <w:spacing w:after="160" w:before="320"/>
      </w:pPr>
      <w:r>
        <w:rPr>
          <w:rFonts w:ascii="Georgia" w:cs="Georgia" w:eastAsia="Georgia" w:hAnsi="Georgia"/>
          <w:b/>
          <w:bCs/>
          <w:color w:val="1C1C1C"/>
          <w:sz w:val="26"/>
          <w:szCs w:val="26"/>
        </w:rPr>
        <w:t xml:space="preserve">2.2 Mission &amp; Vision (in the founder's own words, as reported)</w:t>
      </w:r>
    </w:p>
    <w:p>
      <w:pPr>
        <w:spacing w:after="160" w:line="300"/>
      </w:pPr>
      <w:r>
        <w:rPr>
          <w:rFonts w:ascii="Calibri" w:cs="Calibri" w:eastAsia="Calibri" w:hAnsi="Calibri"/>
          <w:b w:val="false"/>
          <w:bCs w:val="false"/>
          <w:i w:val="false"/>
          <w:iCs w:val="false"/>
          <w:color w:val="1C1C1C"/>
          <w:sz w:val="22"/>
          <w:szCs w:val="22"/>
        </w:rPr>
        <w:t xml:space="preserve">Mupfuti has publicly described the academy's purpose as giving underprivileged youth in Victoria Falls an alternative to poverty and violence by nurturing sporting talent alongside life skills. He has framed boxing as a vehicle for instilling self-confidence, perseverance and respect, and has spoken about a broader ambition: using the academy to drive sports tourism and put Victoria Falls on the international boxing map. He has also spoken about the practical, protective function of training — keeping children occupied and tired after school so that idle time, and the risks that come with it (drugs, crime, the streets), are minimised.</w:t>
      </w:r>
    </w:p>
    <w:p>
      <w:pPr>
        <w:pStyle w:val="Heading2"/>
        <w:spacing w:after="160" w:before="320"/>
      </w:pPr>
      <w:r>
        <w:rPr>
          <w:rFonts w:ascii="Georgia" w:cs="Georgia" w:eastAsia="Georgia" w:hAnsi="Georgia"/>
          <w:b/>
          <w:bCs/>
          <w:color w:val="1C1C1C"/>
          <w:sz w:val="26"/>
          <w:szCs w:val="26"/>
        </w:rPr>
        <w:t xml:space="preserve">2.3 The Film Rise (2025) — the Academy's Global Calling Card</w:t>
      </w:r>
    </w:p>
    <w:p>
      <w:pPr>
        <w:pStyle w:val="ListParagraph"/>
        <w:numPr>
          <w:ilvl w:val="0"/>
          <w:numId w:val="2"/>
        </w:numPr>
        <w:spacing w:after="100"/>
      </w:pPr>
      <w:r>
        <w:rPr>
          <w:rFonts w:ascii="Calibri" w:cs="Calibri" w:eastAsia="Calibri" w:hAnsi="Calibri"/>
          <w:color w:val="1C1C1C"/>
          <w:sz w:val="22"/>
          <w:szCs w:val="22"/>
        </w:rPr>
        <w:t xml:space="preserve">Rise is a Zimbabwean short film written and directed by Jessica J. Rowlands (a British screenwriter who grew up between the UK and Victoria Falls), produced by Joe Njagu, whose earlier feature Cook Off was the first Zimbabwean film acquired by Netflix.</w:t>
      </w:r>
    </w:p>
    <w:p>
      <w:pPr>
        <w:pStyle w:val="ListParagraph"/>
        <w:numPr>
          <w:ilvl w:val="0"/>
          <w:numId w:val="2"/>
        </w:numPr>
        <w:spacing w:after="100"/>
      </w:pPr>
      <w:r>
        <w:rPr>
          <w:rFonts w:ascii="Calibri" w:cs="Calibri" w:eastAsia="Calibri" w:hAnsi="Calibri"/>
          <w:color w:val="1C1C1C"/>
          <w:sz w:val="22"/>
          <w:szCs w:val="22"/>
        </w:rPr>
        <w:t xml:space="preserve">The story: a boy named Rise, living alone on a rubbish dump, persistently seeks out a withdrawn boxing coach, eventually convincing him to teach him to fight; the film traces the bond that forms between the two, and the coach's own guardedness softening over the course of the story.</w:t>
      </w:r>
    </w:p>
    <w:p>
      <w:pPr>
        <w:pStyle w:val="ListParagraph"/>
        <w:numPr>
          <w:ilvl w:val="0"/>
          <w:numId w:val="2"/>
        </w:numPr>
        <w:spacing w:after="100"/>
      </w:pPr>
      <w:r>
        <w:rPr>
          <w:rFonts w:ascii="Calibri" w:cs="Calibri" w:eastAsia="Calibri" w:hAnsi="Calibri"/>
          <w:color w:val="1C1C1C"/>
          <w:sz w:val="22"/>
          <w:szCs w:val="22"/>
        </w:rPr>
        <w:t xml:space="preserve">The coach character is directly inspired by Tobias Mupfuti's real life, and Mupfuti is credited as an executive producer, having been closely involved throughout production to keep the portrayal authentic. He also appears as a credited cast member.</w:t>
      </w:r>
    </w:p>
    <w:p>
      <w:pPr>
        <w:pStyle w:val="ListParagraph"/>
        <w:numPr>
          <w:ilvl w:val="0"/>
          <w:numId w:val="2"/>
        </w:numPr>
        <w:spacing w:after="100"/>
      </w:pPr>
      <w:r>
        <w:rPr>
          <w:rFonts w:ascii="Calibri" w:cs="Calibri" w:eastAsia="Calibri" w:hAnsi="Calibri"/>
          <w:color w:val="1C1C1C"/>
          <w:sz w:val="22"/>
          <w:szCs w:val="22"/>
        </w:rPr>
        <w:t xml:space="preserve">Cast: Tongayi Chirisa plays the coach; Sikhanyiso Ngwenya, an eight-year-old actor discovered through street casting, plays Rise, and went on to win Zimbabwe's National Arts Merit Award for Outstanding Actor — its youngest-ever winner.</w:t>
      </w:r>
    </w:p>
    <w:p>
      <w:pPr>
        <w:pStyle w:val="ListParagraph"/>
        <w:numPr>
          <w:ilvl w:val="0"/>
          <w:numId w:val="2"/>
        </w:numPr>
        <w:spacing w:after="100"/>
      </w:pPr>
      <w:r>
        <w:rPr>
          <w:rFonts w:ascii="Calibri" w:cs="Calibri" w:eastAsia="Calibri" w:hAnsi="Calibri"/>
          <w:color w:val="1C1C1C"/>
          <w:sz w:val="22"/>
          <w:szCs w:val="22"/>
        </w:rPr>
        <w:t xml:space="preserve">Production: shot entirely on location in Zimbabwe (Victoria Falls and Harare) with an all-African cast and crew; cinematography by Jacques Naudé, sound design by Max Uldahl using authentic location-recorded ambience (market sounds, township life, the gym itself), with an original score involving Nash of the Victoria Falls band Flying Bantu.</w:t>
      </w:r>
    </w:p>
    <w:p>
      <w:pPr>
        <w:pStyle w:val="ListParagraph"/>
        <w:numPr>
          <w:ilvl w:val="0"/>
          <w:numId w:val="2"/>
        </w:numPr>
        <w:spacing w:after="100"/>
      </w:pPr>
      <w:r>
        <w:rPr>
          <w:rFonts w:ascii="Calibri" w:cs="Calibri" w:eastAsia="Calibri" w:hAnsi="Calibri"/>
          <w:color w:val="1C1C1C"/>
          <w:sz w:val="22"/>
          <w:szCs w:val="22"/>
        </w:rPr>
        <w:t xml:space="preserve">Recognition: world premiere at the Tribeca Festival on 8 June 2025 — the first Zimbabwean film, short or feature, ever selected for Tribeca — and eligible for consideration at the 2026 Academy Awards. Rise also won Best Short Film, Best Actor and Best Up-and-Coming Young Actor at the Lady Filmmakers Festival in Beverly Hills, screened in Indy Shorts International Film Festival's 'Spotlight: Children's Resilience' programme (with Shine Global), and won the Audience Choice Short Award at the San Diego International Film Festival.</w:t>
      </w:r>
    </w:p>
    <w:p>
      <w:pPr>
        <w:pStyle w:val="ListParagraph"/>
        <w:numPr>
          <w:ilvl w:val="0"/>
          <w:numId w:val="2"/>
        </w:numPr>
        <w:spacing w:after="100"/>
      </w:pPr>
      <w:r>
        <w:rPr>
          <w:rFonts w:ascii="Calibri" w:cs="Calibri" w:eastAsia="Calibri" w:hAnsi="Calibri"/>
          <w:color w:val="1C1C1C"/>
          <w:sz w:val="22"/>
          <w:szCs w:val="22"/>
        </w:rPr>
        <w:t xml:space="preserve">Visual language of the film (directly relevant to website direction): reviewers consistently single out the same palette — rust reds, deep greens and sun-drenched yellows — used as emotional accents rather than decoration, alongside a contrast between sweeping, sun-drenched Victoria Falls landscapes and intimate, close, sometimes claustrophobic interiors of the ring and the home.</w:t>
      </w:r>
    </w:p>
    <w:p>
      <w:pPr>
        <w:pBdr>
          <w:left w:val="single" w:color="C9A227" w:sz="12" w:space="8"/>
        </w:pBdr>
        <w:spacing w:after="200" w:before="80" w:line="276"/>
        <w:ind w:left="360"/>
      </w:pPr>
      <w:r>
        <w:rPr>
          <w:rFonts w:ascii="Calibri" w:cs="Calibri" w:eastAsia="Calibri" w:hAnsi="Calibri"/>
          <w:i/>
          <w:iCs/>
          <w:color w:val="595959"/>
          <w:sz w:val="20"/>
          <w:szCs w:val="20"/>
        </w:rPr>
        <w:t xml:space="preserve">Confirmation needed: exact release status of Rise for public/online viewing (festival circuit vs. public streaming), usage rights for any stills, trailer, or footage on the VFBA website, and Coach Tobias's preferred way of being credited alongside the film.</w:t>
      </w:r>
    </w:p>
    <w:p>
      <w:pPr>
        <w:pStyle w:val="Heading2"/>
        <w:spacing w:after="160" w:before="320"/>
      </w:pPr>
      <w:r>
        <w:rPr>
          <w:rFonts w:ascii="Georgia" w:cs="Georgia" w:eastAsia="Georgia" w:hAnsi="Georgia"/>
          <w:b/>
          <w:bCs/>
          <w:color w:val="1C1C1C"/>
          <w:sz w:val="26"/>
          <w:szCs w:val="26"/>
        </w:rPr>
        <w:t xml:space="preserve">2.4 Existing Digital &amp; Media Footprint (Verified)</w:t>
      </w:r>
    </w:p>
    <w:p>
      <w:pPr>
        <w:pStyle w:val="ListParagraph"/>
        <w:numPr>
          <w:ilvl w:val="0"/>
          <w:numId w:val="2"/>
        </w:numPr>
        <w:spacing w:after="100"/>
      </w:pPr>
      <w:r>
        <w:rPr>
          <w:rFonts w:ascii="Calibri" w:cs="Calibri" w:eastAsia="Calibri" w:hAnsi="Calibri"/>
          <w:color w:val="1C1C1C"/>
          <w:sz w:val="22"/>
          <w:szCs w:val="22"/>
        </w:rPr>
        <w:t xml:space="preserve">Facebook: 'Victoria Falls Boxing Academy' page (facebook.com/victoriafallsboxingacademy), roughly 1,500 likes at time of research, describing itself in its own bio as representing 'fierce, young, disadvantaged boxers, whose perseverance have won them medals and now a new home.'</w:t>
      </w:r>
    </w:p>
    <w:p>
      <w:pPr>
        <w:pStyle w:val="ListParagraph"/>
        <w:numPr>
          <w:ilvl w:val="0"/>
          <w:numId w:val="2"/>
        </w:numPr>
        <w:spacing w:after="100"/>
      </w:pPr>
      <w:r>
        <w:rPr>
          <w:rFonts w:ascii="Calibri" w:cs="Calibri" w:eastAsia="Calibri" w:hAnsi="Calibri"/>
          <w:color w:val="1C1C1C"/>
          <w:sz w:val="22"/>
          <w:szCs w:val="22"/>
        </w:rPr>
        <w:t xml:space="preserve">Instagram: @victoriafallsboxingacademy, a small account (a few hundred followers, single-digit post count at time of research), bio-lined as 'A sports development programme to forge a future for the local kids.'</w:t>
      </w:r>
    </w:p>
    <w:p>
      <w:pPr>
        <w:pStyle w:val="ListParagraph"/>
        <w:numPr>
          <w:ilvl w:val="0"/>
          <w:numId w:val="2"/>
        </w:numPr>
        <w:spacing w:after="100"/>
      </w:pPr>
      <w:r>
        <w:rPr>
          <w:rFonts w:ascii="Calibri" w:cs="Calibri" w:eastAsia="Calibri" w:hAnsi="Calibri"/>
          <w:color w:val="1C1C1C"/>
          <w:sz w:val="22"/>
          <w:szCs w:val="22"/>
        </w:rPr>
        <w:t xml:space="preserve">A YouTube interview with Tobias Mupfuti as founder and head coach exists publicly, referencing the Facebook page.</w:t>
      </w:r>
    </w:p>
    <w:p>
      <w:pPr>
        <w:pStyle w:val="ListParagraph"/>
        <w:numPr>
          <w:ilvl w:val="0"/>
          <w:numId w:val="2"/>
        </w:numPr>
        <w:spacing w:after="100"/>
      </w:pPr>
      <w:r>
        <w:rPr>
          <w:rFonts w:ascii="Calibri" w:cs="Calibri" w:eastAsia="Calibri" w:hAnsi="Calibri"/>
          <w:color w:val="1C1C1C"/>
          <w:sz w:val="22"/>
          <w:szCs w:val="22"/>
        </w:rPr>
        <w:t xml:space="preserve">Third-party coverage: feature articles and fundraising pages from MATTER (matter.ngo) and It Gym (it-gym.com/zim); Zimbabwean news coverage in The Chronicle, The Herald and The Sunday News; a short listing on the Victoria Falls tourism guide wearevictoriafalls.com; and extensive film-press coverage of Rise (Tribeca, The Standard/The Guardian, Landlocked Magazine, Afrocritik, The Movie Buff, and others).</w:t>
      </w:r>
    </w:p>
    <w:p>
      <w:pPr>
        <w:pStyle w:val="ListParagraph"/>
        <w:numPr>
          <w:ilvl w:val="0"/>
          <w:numId w:val="2"/>
        </w:numPr>
        <w:spacing w:after="100"/>
      </w:pPr>
      <w:r>
        <w:rPr>
          <w:rFonts w:ascii="Calibri" w:cs="Calibri" w:eastAsia="Calibri" w:hAnsi="Calibri"/>
          <w:color w:val="1C1C1C"/>
          <w:sz w:val="22"/>
          <w:szCs w:val="22"/>
        </w:rPr>
        <w:t xml:space="preserve">No verified official website: the domain victoriafallsboxingacademy.com does not currently resolve to academy content — at the time of this research it redirects to an unrelated third-party site. This is an important finding in its own right (see Risks &amp; Opportunities) and reinforces the case for the academy to secure a clean, owned domain as part of this project.</w:t>
      </w:r>
    </w:p>
    <w:p>
      <w:pPr>
        <w:pStyle w:val="Heading1"/>
        <w:pBdr>
          <w:bottom w:val="single" w:color="C9A227" w:sz="8" w:space="4"/>
        </w:pBdr>
        <w:spacing w:after="240" w:before="480"/>
      </w:pPr>
      <w:r>
        <w:rPr>
          <w:rFonts w:ascii="Georgia" w:cs="Georgia" w:eastAsia="Georgia" w:hAnsi="Georgia"/>
          <w:b/>
          <w:bCs/>
          <w:color w:val="3B2352"/>
          <w:sz w:val="32"/>
          <w:szCs w:val="32"/>
        </w:rPr>
        <w:t xml:space="preserve">3. Brand Analysis</w:t>
      </w:r>
    </w:p>
    <w:p>
      <w:pPr>
        <w:pStyle w:val="Heading2"/>
        <w:spacing w:after="160" w:before="320"/>
      </w:pPr>
      <w:r>
        <w:rPr>
          <w:rFonts w:ascii="Georgia" w:cs="Georgia" w:eastAsia="Georgia" w:hAnsi="Georgia"/>
          <w:b/>
          <w:bCs/>
          <w:color w:val="1C1C1C"/>
          <w:sz w:val="26"/>
          <w:szCs w:val="26"/>
        </w:rPr>
        <w:t xml:space="preserve">3.1 What Is Verified</w:t>
      </w:r>
    </w:p>
    <w:p>
      <w:pPr>
        <w:spacing w:after="160" w:line="300"/>
      </w:pPr>
      <w:r>
        <w:rPr>
          <w:rFonts w:ascii="Calibri" w:cs="Calibri" w:eastAsia="Calibri" w:hAnsi="Calibri"/>
          <w:b w:val="false"/>
          <w:bCs w:val="false"/>
          <w:i w:val="false"/>
          <w:iCs w:val="false"/>
          <w:color w:val="1C1C1C"/>
          <w:sz w:val="22"/>
          <w:szCs w:val="22"/>
        </w:rPr>
        <w:t xml:space="preserve">No official brand guideline, logo file, typography system, or documented colour palette for VFBA could be located publicly. The academy's visual identity today is informally expressed through gym signage, boxing gloves/ring branding, event photography and the Instagram/Facebook feed, none of which constitutes a confirmed design system.</w:t>
      </w:r>
    </w:p>
    <w:p>
      <w:pPr>
        <w:pBdr>
          <w:left w:val="single" w:color="C9A227" w:sz="12" w:space="8"/>
        </w:pBdr>
        <w:spacing w:after="200" w:before="80" w:line="276"/>
        <w:ind w:left="360"/>
      </w:pPr>
      <w:r>
        <w:rPr>
          <w:rFonts w:ascii="Calibri" w:cs="Calibri" w:eastAsia="Calibri" w:hAnsi="Calibri"/>
          <w:i/>
          <w:iCs/>
          <w:color w:val="595959"/>
          <w:sz w:val="20"/>
          <w:szCs w:val="20"/>
        </w:rPr>
        <w:t xml:space="preserve">Action required: request any existing logo files (vector if available), sponsor-branded kit/apparel guidelines, and any colours the academy already considers 'theirs' before finalising Phase 1 design tokens.</w:t>
      </w:r>
    </w:p>
    <w:p>
      <w:pPr>
        <w:pStyle w:val="Heading2"/>
        <w:spacing w:after="160" w:before="320"/>
      </w:pPr>
      <w:r>
        <w:rPr>
          <w:rFonts w:ascii="Georgia" w:cs="Georgia" w:eastAsia="Georgia" w:hAnsi="Georgia"/>
          <w:b/>
          <w:bCs/>
          <w:color w:val="1C1C1C"/>
          <w:sz w:val="26"/>
          <w:szCs w:val="26"/>
        </w:rPr>
        <w:t xml:space="preserve">3.2 Recommended Brand Personality (to validate with the academy)</w:t>
      </w:r>
    </w:p>
    <w:p>
      <w:pPr>
        <w:pStyle w:val="ListParagraph"/>
        <w:numPr>
          <w:ilvl w:val="0"/>
          <w:numId w:val="2"/>
        </w:numPr>
        <w:spacing w:after="100"/>
      </w:pPr>
      <w:r>
        <w:rPr>
          <w:rFonts w:ascii="Calibri" w:cs="Calibri" w:eastAsia="Calibri" w:hAnsi="Calibri"/>
          <w:color w:val="1C1C1C"/>
          <w:sz w:val="22"/>
          <w:szCs w:val="22"/>
        </w:rPr>
        <w:t xml:space="preserve">Resilient — shaped by a founder who survived the exact hardship he now protects children from.</w:t>
      </w:r>
    </w:p>
    <w:p>
      <w:pPr>
        <w:pStyle w:val="ListParagraph"/>
        <w:numPr>
          <w:ilvl w:val="0"/>
          <w:numId w:val="2"/>
        </w:numPr>
        <w:spacing w:after="100"/>
      </w:pPr>
      <w:r>
        <w:rPr>
          <w:rFonts w:ascii="Calibri" w:cs="Calibri" w:eastAsia="Calibri" w:hAnsi="Calibri"/>
          <w:color w:val="1C1C1C"/>
          <w:sz w:val="22"/>
          <w:szCs w:val="22"/>
        </w:rPr>
        <w:t xml:space="preserve">Disciplined, not aggressive — boxing as structure and self-mastery, not violence.</w:t>
      </w:r>
    </w:p>
    <w:p>
      <w:pPr>
        <w:pStyle w:val="ListParagraph"/>
        <w:numPr>
          <w:ilvl w:val="0"/>
          <w:numId w:val="2"/>
        </w:numPr>
        <w:spacing w:after="100"/>
      </w:pPr>
      <w:r>
        <w:rPr>
          <w:rFonts w:ascii="Calibri" w:cs="Calibri" w:eastAsia="Calibri" w:hAnsi="Calibri"/>
          <w:color w:val="1C1C1C"/>
          <w:sz w:val="22"/>
          <w:szCs w:val="22"/>
        </w:rPr>
        <w:t xml:space="preserve">Warm and paternal — the film's central image is a hardened coach learning to let a child in; the brand should carry that same tenderness alongside its physical intensity.</w:t>
      </w:r>
    </w:p>
    <w:p>
      <w:pPr>
        <w:pStyle w:val="ListParagraph"/>
        <w:numPr>
          <w:ilvl w:val="0"/>
          <w:numId w:val="2"/>
        </w:numPr>
        <w:spacing w:after="100"/>
      </w:pPr>
      <w:r>
        <w:rPr>
          <w:rFonts w:ascii="Calibri" w:cs="Calibri" w:eastAsia="Calibri" w:hAnsi="Calibri"/>
          <w:color w:val="1C1C1C"/>
          <w:sz w:val="22"/>
          <w:szCs w:val="22"/>
        </w:rPr>
        <w:t xml:space="preserve">Proudly Zimbabwean and proudly local — Victoria Falls, Matabeleland North, ndebele/shona cultural texture, not a generic 'African' aesthetic.</w:t>
      </w:r>
    </w:p>
    <w:p>
      <w:pPr>
        <w:pStyle w:val="ListParagraph"/>
        <w:numPr>
          <w:ilvl w:val="0"/>
          <w:numId w:val="2"/>
        </w:numPr>
        <w:spacing w:after="100"/>
      </w:pPr>
      <w:r>
        <w:rPr>
          <w:rFonts w:ascii="Calibri" w:cs="Calibri" w:eastAsia="Calibri" w:hAnsi="Calibri"/>
          <w:color w:val="1C1C1C"/>
          <w:sz w:val="22"/>
          <w:szCs w:val="22"/>
        </w:rPr>
        <w:t xml:space="preserve">Quietly credible — the brand doesn't need to oversell itself; it has Tribeca and Oscar-consideration credibility already earned.</w:t>
      </w:r>
    </w:p>
    <w:p>
      <w:pPr>
        <w:pStyle w:val="Heading2"/>
        <w:spacing w:after="160" w:before="320"/>
      </w:pPr>
      <w:r>
        <w:rPr>
          <w:rFonts w:ascii="Georgia" w:cs="Georgia" w:eastAsia="Georgia" w:hAnsi="Georgia"/>
          <w:b/>
          <w:bCs/>
          <w:color w:val="1C1C1C"/>
          <w:sz w:val="26"/>
          <w:szCs w:val="26"/>
        </w:rPr>
        <w:t xml:space="preserve">3.3 Brand Voice</w:t>
      </w:r>
    </w:p>
    <w:p>
      <w:pPr>
        <w:spacing w:after="160" w:line="300"/>
      </w:pPr>
      <w:r>
        <w:rPr>
          <w:rFonts w:ascii="Calibri" w:cs="Calibri" w:eastAsia="Calibri" w:hAnsi="Calibri"/>
          <w:b w:val="false"/>
          <w:bCs w:val="false"/>
          <w:i w:val="false"/>
          <w:iCs w:val="false"/>
          <w:color w:val="1C1C1C"/>
          <w:sz w:val="22"/>
          <w:szCs w:val="22"/>
        </w:rPr>
        <w:t xml:space="preserve">First-person, plain-spoken, and unsentimental — closer to how Mupfuti actually speaks in interviews (direct, matter-of-fact about hardship, quietly proud of results) than to typical charity-appeal copywriting. Avoid pity-based language ('poor children', 'save them'); favour agency-based language ('a place to train', 'a home', 'a way forward') consistent with how Rise itself treats its subject — as dignity and resilience, not victimhood.</w:t>
      </w:r>
    </w:p>
    <w:p>
      <w:pPr>
        <w:pStyle w:val="Heading1"/>
        <w:pBdr>
          <w:bottom w:val="single" w:color="C9A227" w:sz="8" w:space="4"/>
        </w:pBdr>
        <w:spacing w:after="240" w:before="480"/>
      </w:pPr>
      <w:r>
        <w:rPr>
          <w:rFonts w:ascii="Georgia" w:cs="Georgia" w:eastAsia="Georgia" w:hAnsi="Georgia"/>
          <w:b/>
          <w:bCs/>
          <w:color w:val="3B2352"/>
          <w:sz w:val="32"/>
          <w:szCs w:val="32"/>
        </w:rPr>
        <w:t xml:space="preserve">4. Competitor Analysis</w:t>
      </w:r>
    </w:p>
    <w:p>
      <w:pPr>
        <w:spacing w:after="160" w:line="300"/>
      </w:pPr>
      <w:r>
        <w:rPr>
          <w:rFonts w:ascii="Calibri" w:cs="Calibri" w:eastAsia="Calibri" w:hAnsi="Calibri"/>
          <w:b w:val="false"/>
          <w:bCs w:val="false"/>
          <w:i w:val="false"/>
          <w:iCs w:val="false"/>
          <w:color w:val="1C1C1C"/>
          <w:sz w:val="22"/>
          <w:szCs w:val="22"/>
        </w:rPr>
        <w:t xml:space="preserve">Because VFBA sits at the intersection of grassroots boxing gym, youth-development NGO, and cinematic story property, the most useful comparisons span three categories.</w:t>
      </w:r>
    </w:p>
    <w:p>
      <w:pPr>
        <w:pStyle w:val="Heading2"/>
        <w:spacing w:after="160" w:before="320"/>
      </w:pPr>
      <w:r>
        <w:rPr>
          <w:rFonts w:ascii="Georgia" w:cs="Georgia" w:eastAsia="Georgia" w:hAnsi="Georgia"/>
          <w:b/>
          <w:bCs/>
          <w:color w:val="1C1C1C"/>
          <w:sz w:val="26"/>
          <w:szCs w:val="26"/>
        </w:rPr>
        <w:t xml:space="preserve">4.1 Boxing Academies &amp; Amateur Clubs</w:t>
      </w:r>
    </w:p>
    <w:p>
      <w:pPr>
        <w:spacing w:after="160" w:line="300"/>
      </w:pPr>
      <w:r>
        <w:rPr>
          <w:rFonts w:ascii="Calibri" w:cs="Calibri" w:eastAsia="Calibri" w:hAnsi="Calibri"/>
          <w:b w:val="false"/>
          <w:bCs w:val="false"/>
          <w:i w:val="false"/>
          <w:iCs w:val="false"/>
          <w:color w:val="1C1C1C"/>
          <w:sz w:val="22"/>
          <w:szCs w:val="22"/>
        </w:rPr>
        <w:t xml:space="preserve">Most boxing gym websites worldwide (including the majority of Zimbabwean and regional sports club sites found during this research) are template-built: a hero photo, a class schedule, a pricing table, and a contact form. Strengths of this pattern: fast to build, clear for someone who wants to sign up for classes. Weakness: it completely fails to carry a founder-led rescue story, and would badly undersell VFBA's actual differentiator.</w:t>
      </w:r>
    </w:p>
    <w:p>
      <w:pPr>
        <w:pStyle w:val="Heading2"/>
        <w:spacing w:after="160" w:before="320"/>
      </w:pPr>
      <w:r>
        <w:rPr>
          <w:rFonts w:ascii="Georgia" w:cs="Georgia" w:eastAsia="Georgia" w:hAnsi="Georgia"/>
          <w:b/>
          <w:bCs/>
          <w:color w:val="1C1C1C"/>
          <w:sz w:val="26"/>
          <w:szCs w:val="26"/>
        </w:rPr>
        <w:t xml:space="preserve">4.2 Boxing-for-Development Nonprofits</w:t>
      </w:r>
    </w:p>
    <w:p>
      <w:pPr>
        <w:spacing w:after="160" w:line="300"/>
      </w:pPr>
      <w:r>
        <w:rPr>
          <w:rFonts w:ascii="Calibri" w:cs="Calibri" w:eastAsia="Calibri" w:hAnsi="Calibri"/>
          <w:b w:val="false"/>
          <w:bCs w:val="false"/>
          <w:i w:val="false"/>
          <w:iCs w:val="false"/>
          <w:color w:val="1C1C1C"/>
          <w:sz w:val="22"/>
          <w:szCs w:val="22"/>
        </w:rPr>
        <w:t xml:space="preserve">Organisations such as Fight for Peace (operating boxing/martial-arts academies for at-risk youth in Rio de Janeiro and London) and sport-for-good networks like Laureus Sport for Good are the closest real-world model to VFBA's actual mission: using combat sport as a structured intervention for young people facing violence and poverty. These organisations typically lead with participant stories and impact statistics over gym amenities, and treat the coach/mentor relationship as the emotional core of the site — directly analogous to the Coach–Rise relationship in the film.</w:t>
      </w:r>
    </w:p>
    <w:p>
      <w:pPr>
        <w:pStyle w:val="Heading2"/>
        <w:spacing w:after="160" w:before="320"/>
      </w:pPr>
      <w:r>
        <w:rPr>
          <w:rFonts w:ascii="Georgia" w:cs="Georgia" w:eastAsia="Georgia" w:hAnsi="Georgia"/>
          <w:b/>
          <w:bCs/>
          <w:color w:val="1C1C1C"/>
          <w:sz w:val="26"/>
          <w:szCs w:val="26"/>
        </w:rPr>
        <w:t xml:space="preserve">4.3 Professional Boxing &amp; Major Sports Brands</w:t>
      </w:r>
    </w:p>
    <w:p>
      <w:pPr>
        <w:spacing w:after="160" w:line="300"/>
      </w:pPr>
      <w:r>
        <w:rPr>
          <w:rFonts w:ascii="Calibri" w:cs="Calibri" w:eastAsia="Calibri" w:hAnsi="Calibri"/>
          <w:b w:val="false"/>
          <w:bCs w:val="false"/>
          <w:i w:val="false"/>
          <w:iCs w:val="false"/>
          <w:color w:val="1C1C1C"/>
          <w:sz w:val="22"/>
          <w:szCs w:val="22"/>
        </w:rPr>
        <w:t xml:space="preserve">Promotions such as Top Rank and Matchroom Boxing, and brands like Nike and Everlast, demonstrate the cinematic, high-production visual language (dramatic lighting, slow-motion athlete footage, bold condensed typography, countdown/event framing) that this project should borrow the mood of — without borrowing the commercial, ticket-selling structure, which is irrelevant to VFBA's mission-led goals.</w:t>
      </w:r>
    </w:p>
    <w:p>
      <w:pPr>
        <w:pStyle w:val="Heading2"/>
        <w:spacing w:after="160" w:before="320"/>
      </w:pPr>
      <w:r>
        <w:rPr>
          <w:rFonts w:ascii="Georgia" w:cs="Georgia" w:eastAsia="Georgia" w:hAnsi="Georgia"/>
          <w:b/>
          <w:bCs/>
          <w:color w:val="1C1C1C"/>
          <w:sz w:val="26"/>
          <w:szCs w:val="26"/>
        </w:rPr>
        <w:t xml:space="preserve">4.4 Features to Adopt vs. Avoid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3B2352" w:val="clear"/>
            <w:tcMar>
              <w:top w:type="dxa" w:w="100"/>
              <w:left w:type="dxa" w:w="120"/>
              <w:bottom w:type="dxa" w:w="100"/>
              <w:right w:type="dxa" w:w="120"/>
            </w:tcMar>
          </w:tcPr>
          <w:p>
            <w:r>
              <w:rPr>
                <w:rFonts w:ascii="Calibri" w:cs="Calibri" w:eastAsia="Calibri" w:hAnsi="Calibri"/>
                <w:b/>
                <w:bCs/>
                <w:color w:val="FFFFFF"/>
                <w:sz w:val="20"/>
                <w:szCs w:val="20"/>
              </w:rPr>
              <w:t xml:space="preserve">Adopt</w:t>
            </w:r>
          </w:p>
        </w:tc>
        <w:tc>
          <w:tcPr>
            <w:tcW w:type="dxa" w:w="4600"/>
            <w:shd w:fill="3B2352" w:val="clear"/>
            <w:tcMar>
              <w:top w:type="dxa" w:w="100"/>
              <w:left w:type="dxa" w:w="120"/>
              <w:bottom w:type="dxa" w:w="100"/>
              <w:right w:type="dxa" w:w="120"/>
            </w:tcMar>
          </w:tcPr>
          <w:p>
            <w:r>
              <w:rPr>
                <w:rFonts w:ascii="Calibri" w:cs="Calibri" w:eastAsia="Calibri" w:hAnsi="Calibri"/>
                <w:b/>
                <w:bCs/>
                <w:color w:val="FFFFFF"/>
                <w:sz w:val="20"/>
                <w:szCs w:val="20"/>
              </w:rPr>
              <w:t xml:space="preserve">Avoid</w:t>
            </w:r>
          </w:p>
        </w:tc>
      </w:tr>
      <w:tr>
        <w:tc>
          <w:tcPr>
            <w:tcW w:type="dxa" w:w="4600"/>
            <w:tcMar>
              <w:top w:type="dxa" w:w="100"/>
              <w:left w:type="dxa" w:w="120"/>
              <w:bottom w:type="dxa" w:w="100"/>
              <w:right w:type="dxa" w:w="120"/>
            </w:tcMar>
          </w:tcPr>
          <w:p>
            <w:r>
              <w:rPr>
                <w:rFonts w:ascii="Calibri" w:cs="Calibri" w:eastAsia="Calibri" w:hAnsi="Calibri"/>
                <w:b w:val="false"/>
                <w:bCs w:val="false"/>
                <w:color w:val="1C1C1C"/>
                <w:sz w:val="20"/>
                <w:szCs w:val="20"/>
              </w:rPr>
              <w:t xml:space="preserve">Founder/coach as the emotional anchor of the story</w:t>
            </w:r>
          </w:p>
        </w:tc>
        <w:tc>
          <w:tcPr>
            <w:tcW w:type="dxa" w:w="4600"/>
            <w:tcMar>
              <w:top w:type="dxa" w:w="100"/>
              <w:left w:type="dxa" w:w="120"/>
              <w:bottom w:type="dxa" w:w="100"/>
              <w:right w:type="dxa" w:w="120"/>
            </w:tcMar>
          </w:tcPr>
          <w:p>
            <w:r>
              <w:rPr>
                <w:rFonts w:ascii="Calibri" w:cs="Calibri" w:eastAsia="Calibri" w:hAnsi="Calibri"/>
                <w:b w:val="false"/>
                <w:bCs w:val="false"/>
                <w:color w:val="1C1C1C"/>
                <w:sz w:val="20"/>
                <w:szCs w:val="20"/>
              </w:rPr>
              <w:t xml:space="preserve">Generic stock 'boxing gloves and ring' hero imagery</w:t>
            </w:r>
          </w:p>
        </w:tc>
      </w:tr>
      <w:tr>
        <w:tc>
          <w:tcPr>
            <w:tcW w:type="dxa" w:w="4600"/>
            <w:tcMar>
              <w:top w:type="dxa" w:w="100"/>
              <w:left w:type="dxa" w:w="120"/>
              <w:bottom w:type="dxa" w:w="100"/>
              <w:right w:type="dxa" w:w="120"/>
            </w:tcMar>
          </w:tcPr>
          <w:p>
            <w:r>
              <w:rPr>
                <w:rFonts w:ascii="Calibri" w:cs="Calibri" w:eastAsia="Calibri" w:hAnsi="Calibri"/>
                <w:b w:val="false"/>
                <w:bCs w:val="false"/>
                <w:color w:val="1C1C1C"/>
                <w:sz w:val="20"/>
                <w:szCs w:val="20"/>
              </w:rPr>
              <w:t xml:space="preserve">Real athlete profiles and named tournament results</w:t>
            </w:r>
          </w:p>
        </w:tc>
        <w:tc>
          <w:tcPr>
            <w:tcW w:type="dxa" w:w="4600"/>
            <w:tcMar>
              <w:top w:type="dxa" w:w="100"/>
              <w:left w:type="dxa" w:w="120"/>
              <w:bottom w:type="dxa" w:w="100"/>
              <w:right w:type="dxa" w:w="120"/>
            </w:tcMar>
          </w:tcPr>
          <w:p>
            <w:r>
              <w:rPr>
                <w:rFonts w:ascii="Calibri" w:cs="Calibri" w:eastAsia="Calibri" w:hAnsi="Calibri"/>
                <w:b w:val="false"/>
                <w:bCs w:val="false"/>
                <w:color w:val="1C1C1C"/>
                <w:sz w:val="20"/>
                <w:szCs w:val="20"/>
              </w:rPr>
              <w:t xml:space="preserve">Pity-driven charity appeal language</w:t>
            </w:r>
          </w:p>
        </w:tc>
      </w:tr>
      <w:tr>
        <w:tc>
          <w:tcPr>
            <w:tcW w:type="dxa" w:w="4600"/>
            <w:tcMar>
              <w:top w:type="dxa" w:w="100"/>
              <w:left w:type="dxa" w:w="120"/>
              <w:bottom w:type="dxa" w:w="100"/>
              <w:right w:type="dxa" w:w="120"/>
            </w:tcMar>
          </w:tcPr>
          <w:p>
            <w:r>
              <w:rPr>
                <w:rFonts w:ascii="Calibri" w:cs="Calibri" w:eastAsia="Calibri" w:hAnsi="Calibri"/>
                <w:b w:val="false"/>
                <w:bCs w:val="false"/>
                <w:color w:val="1C1C1C"/>
                <w:sz w:val="20"/>
                <w:szCs w:val="20"/>
              </w:rPr>
              <w:t xml:space="preserve">Cinematic photography/video treatment (as in Rise)</w:t>
            </w:r>
          </w:p>
        </w:tc>
        <w:tc>
          <w:tcPr>
            <w:tcW w:type="dxa" w:w="4600"/>
            <w:tcMar>
              <w:top w:type="dxa" w:w="100"/>
              <w:left w:type="dxa" w:w="120"/>
              <w:bottom w:type="dxa" w:w="100"/>
              <w:right w:type="dxa" w:w="120"/>
            </w:tcMar>
          </w:tcPr>
          <w:p>
            <w:r>
              <w:rPr>
                <w:rFonts w:ascii="Calibri" w:cs="Calibri" w:eastAsia="Calibri" w:hAnsi="Calibri"/>
                <w:b w:val="false"/>
                <w:bCs w:val="false"/>
                <w:color w:val="1C1C1C"/>
                <w:sz w:val="20"/>
                <w:szCs w:val="20"/>
              </w:rPr>
              <w:t xml:space="preserve">Cluttered class-schedule-first homepage layout</w:t>
            </w:r>
          </w:p>
        </w:tc>
      </w:tr>
      <w:tr>
        <w:tc>
          <w:tcPr>
            <w:tcW w:type="dxa" w:w="4600"/>
            <w:tcMar>
              <w:top w:type="dxa" w:w="100"/>
              <w:left w:type="dxa" w:w="120"/>
              <w:bottom w:type="dxa" w:w="100"/>
              <w:right w:type="dxa" w:w="120"/>
            </w:tcMar>
          </w:tcPr>
          <w:p>
            <w:r>
              <w:rPr>
                <w:rFonts w:ascii="Calibri" w:cs="Calibri" w:eastAsia="Calibri" w:hAnsi="Calibri"/>
                <w:b w:val="false"/>
                <w:bCs w:val="false"/>
                <w:color w:val="1C1C1C"/>
                <w:sz w:val="20"/>
                <w:szCs w:val="20"/>
              </w:rPr>
              <w:t xml:space="preserve">A clear, simple way to donate, volunteer, or visit</w:t>
            </w:r>
          </w:p>
        </w:tc>
        <w:tc>
          <w:tcPr>
            <w:tcW w:type="dxa" w:w="4600"/>
            <w:tcMar>
              <w:top w:type="dxa" w:w="100"/>
              <w:left w:type="dxa" w:w="120"/>
              <w:bottom w:type="dxa" w:w="100"/>
              <w:right w:type="dxa" w:w="120"/>
            </w:tcMar>
          </w:tcPr>
          <w:p>
            <w:r>
              <w:rPr>
                <w:rFonts w:ascii="Calibri" w:cs="Calibri" w:eastAsia="Calibri" w:hAnsi="Calibri"/>
                <w:b w:val="false"/>
                <w:bCs w:val="false"/>
                <w:color w:val="1C1C1C"/>
                <w:sz w:val="20"/>
                <w:szCs w:val="20"/>
              </w:rPr>
              <w:t xml:space="preserve">Overproduced 3D/WebGL that hides the real story</w:t>
            </w:r>
          </w:p>
        </w:tc>
      </w:tr>
      <w:tr>
        <w:tc>
          <w:tcPr>
            <w:tcW w:type="dxa" w:w="4600"/>
            <w:tcMar>
              <w:top w:type="dxa" w:w="100"/>
              <w:left w:type="dxa" w:w="120"/>
              <w:bottom w:type="dxa" w:w="100"/>
              <w:right w:type="dxa" w:w="120"/>
            </w:tcMar>
          </w:tcPr>
          <w:p>
            <w:r>
              <w:rPr>
                <w:rFonts w:ascii="Calibri" w:cs="Calibri" w:eastAsia="Calibri" w:hAnsi="Calibri"/>
                <w:b w:val="false"/>
                <w:bCs w:val="false"/>
                <w:color w:val="1C1C1C"/>
                <w:sz w:val="20"/>
                <w:szCs w:val="20"/>
              </w:rPr>
              <w:t xml:space="preserve">Press/awards credibility (Tribeca, NAMA, festival wins)</w:t>
            </w:r>
          </w:p>
        </w:tc>
        <w:tc>
          <w:tcPr>
            <w:tcW w:type="dxa" w:w="4600"/>
            <w:tcMar>
              <w:top w:type="dxa" w:w="100"/>
              <w:left w:type="dxa" w:w="120"/>
              <w:bottom w:type="dxa" w:w="100"/>
              <w:right w:type="dxa" w:w="120"/>
            </w:tcMar>
          </w:tcPr>
          <w:p>
            <w:r>
              <w:rPr>
                <w:rFonts w:ascii="Calibri" w:cs="Calibri" w:eastAsia="Calibri" w:hAnsi="Calibri"/>
                <w:b w:val="false"/>
                <w:bCs w:val="false"/>
                <w:color w:val="1C1C1C"/>
                <w:sz w:val="20"/>
                <w:szCs w:val="20"/>
              </w:rPr>
              <w:t xml:space="preserve">Auto-playing sound or aggressive pop-ups</w:t>
            </w:r>
          </w:p>
        </w:tc>
      </w:tr>
    </w:tbl>
    <w:p>
      <w:pPr>
        <w:pStyle w:val="Heading1"/>
        <w:pBdr>
          <w:bottom w:val="single" w:color="C9A227" w:sz="8" w:space="4"/>
        </w:pBdr>
        <w:spacing w:after="240" w:before="480"/>
      </w:pPr>
      <w:r>
        <w:rPr>
          <w:rFonts w:ascii="Georgia" w:cs="Georgia" w:eastAsia="Georgia" w:hAnsi="Georgia"/>
          <w:b/>
          <w:bCs/>
          <w:color w:val="3B2352"/>
          <w:sz w:val="32"/>
          <w:szCs w:val="32"/>
        </w:rPr>
        <w:t xml:space="preserve">5. Inspiration Analysis</w:t>
      </w:r>
    </w:p>
    <w:p>
      <w:pPr>
        <w:spacing w:after="160" w:line="300"/>
      </w:pPr>
      <w:r>
        <w:rPr>
          <w:rFonts w:ascii="Calibri" w:cs="Calibri" w:eastAsia="Calibri" w:hAnsi="Calibri"/>
          <w:b w:val="false"/>
          <w:bCs w:val="false"/>
          <w:i w:val="false"/>
          <w:iCs w:val="false"/>
          <w:color w:val="1C1C1C"/>
          <w:sz w:val="22"/>
          <w:szCs w:val="22"/>
        </w:rPr>
        <w:t xml:space="preserve">The following patterns are drawn from established best practice among award-recognised (Awwwards/CSS Design Awards/FWA/Codrops-style) documentary, non-profit, sports and cultural sites, and are offered as reusable techniques rather than any single site to imitate.</w:t>
      </w:r>
    </w:p>
    <w:p>
      <w:pPr>
        <w:pStyle w:val="Heading3"/>
        <w:spacing w:after="120" w:before="240"/>
      </w:pPr>
      <w:r>
        <w:rPr>
          <w:rFonts w:ascii="Georgia" w:cs="Georgia" w:eastAsia="Georgia" w:hAnsi="Georgia"/>
          <w:b/>
          <w:bCs/>
          <w:color w:val="8A3B1E"/>
          <w:sz w:val="22"/>
          <w:szCs w:val="22"/>
        </w:rPr>
        <w:t xml:space="preserve">Cinematic hero sequences</w:t>
      </w:r>
    </w:p>
    <w:p>
      <w:pPr>
        <w:spacing w:after="160" w:line="300"/>
      </w:pPr>
      <w:r>
        <w:rPr>
          <w:rFonts w:ascii="Calibri" w:cs="Calibri" w:eastAsia="Calibri" w:hAnsi="Calibri"/>
          <w:b w:val="false"/>
          <w:bCs w:val="false"/>
          <w:i w:val="false"/>
          <w:iCs w:val="false"/>
          <w:color w:val="1C1C1C"/>
          <w:sz w:val="22"/>
          <w:szCs w:val="22"/>
        </w:rPr>
        <w:t xml:space="preserve">A short, muted, high-quality video or image sequence (dust, ring ropes, sunlight through the gym roof) establishes tone in the first two seconds, before any text appears — mirroring a film's cold open.</w:t>
      </w:r>
    </w:p>
    <w:p>
      <w:pPr>
        <w:pStyle w:val="Heading3"/>
        <w:spacing w:after="120" w:before="240"/>
      </w:pPr>
      <w:r>
        <w:rPr>
          <w:rFonts w:ascii="Georgia" w:cs="Georgia" w:eastAsia="Georgia" w:hAnsi="Georgia"/>
          <w:b/>
          <w:bCs/>
          <w:color w:val="8A3B1E"/>
          <w:sz w:val="22"/>
          <w:szCs w:val="22"/>
        </w:rPr>
        <w:t xml:space="preserve">Scroll-driven storytelling</w:t>
      </w:r>
    </w:p>
    <w:p>
      <w:pPr>
        <w:spacing w:after="160" w:line="300"/>
      </w:pPr>
      <w:r>
        <w:rPr>
          <w:rFonts w:ascii="Calibri" w:cs="Calibri" w:eastAsia="Calibri" w:hAnsi="Calibri"/>
          <w:b w:val="false"/>
          <w:bCs w:val="false"/>
          <w:i w:val="false"/>
          <w:iCs w:val="false"/>
          <w:color w:val="1C1C1C"/>
          <w:sz w:val="22"/>
          <w:szCs w:val="22"/>
        </w:rPr>
        <w:t xml:space="preserve">Content is paced like a documentary chapter structure (origin → struggle → the gym today → the children → the film → how to help) rather than laid out as flat marketing sections; GSAP ScrollTrigger-style pinning and reveals control pacing precisely.</w:t>
      </w:r>
    </w:p>
    <w:p>
      <w:pPr>
        <w:pStyle w:val="Heading3"/>
        <w:spacing w:after="120" w:before="240"/>
      </w:pPr>
      <w:r>
        <w:rPr>
          <w:rFonts w:ascii="Georgia" w:cs="Georgia" w:eastAsia="Georgia" w:hAnsi="Georgia"/>
          <w:b/>
          <w:bCs/>
          <w:color w:val="8A3B1E"/>
          <w:sz w:val="22"/>
          <w:szCs w:val="22"/>
        </w:rPr>
        <w:t xml:space="preserve">Restrained page transitions</w:t>
      </w:r>
    </w:p>
    <w:p>
      <w:pPr>
        <w:spacing w:after="160" w:line="300"/>
      </w:pPr>
      <w:r>
        <w:rPr>
          <w:rFonts w:ascii="Calibri" w:cs="Calibri" w:eastAsia="Calibri" w:hAnsi="Calibri"/>
          <w:b w:val="false"/>
          <w:bCs w:val="false"/>
          <w:i w:val="false"/>
          <w:iCs w:val="false"/>
          <w:color w:val="1C1C1C"/>
          <w:sz w:val="22"/>
          <w:szCs w:val="22"/>
        </w:rPr>
        <w:t xml:space="preserve">Successful sites use short, purposeful transitions between chapters (a fade through black, a subtle wipe) that reinforce the film-like pacing without adding latency.</w:t>
      </w:r>
    </w:p>
    <w:p>
      <w:pPr>
        <w:pStyle w:val="Heading3"/>
        <w:spacing w:after="120" w:before="240"/>
      </w:pPr>
      <w:r>
        <w:rPr>
          <w:rFonts w:ascii="Georgia" w:cs="Georgia" w:eastAsia="Georgia" w:hAnsi="Georgia"/>
          <w:b/>
          <w:bCs/>
          <w:color w:val="8A3B1E"/>
          <w:sz w:val="22"/>
          <w:szCs w:val="22"/>
        </w:rPr>
        <w:t xml:space="preserve">Custom cursor &amp; micro-interactions</w:t>
      </w:r>
    </w:p>
    <w:p>
      <w:pPr>
        <w:spacing w:after="160" w:line="300"/>
      </w:pPr>
      <w:r>
        <w:rPr>
          <w:rFonts w:ascii="Calibri" w:cs="Calibri" w:eastAsia="Calibri" w:hAnsi="Calibri"/>
          <w:b w:val="false"/>
          <w:bCs w:val="false"/>
          <w:i w:val="false"/>
          <w:iCs w:val="false"/>
          <w:color w:val="1C1C1C"/>
          <w:sz w:val="22"/>
          <w:szCs w:val="22"/>
        </w:rPr>
        <w:t xml:space="preserve">Small, tasteful cursor changes (e.g., a glove-lace icon on hover) add craft signalling without becoming a gimmick — used sparingly on interactive elements only.</w:t>
      </w:r>
    </w:p>
    <w:p>
      <w:pPr>
        <w:pStyle w:val="Heading3"/>
        <w:spacing w:after="120" w:before="240"/>
      </w:pPr>
      <w:r>
        <w:rPr>
          <w:rFonts w:ascii="Georgia" w:cs="Georgia" w:eastAsia="Georgia" w:hAnsi="Georgia"/>
          <w:b/>
          <w:bCs/>
          <w:color w:val="8A3B1E"/>
          <w:sz w:val="22"/>
          <w:szCs w:val="22"/>
        </w:rPr>
        <w:t xml:space="preserve">Editorial typography as a design element</w:t>
      </w:r>
    </w:p>
    <w:p>
      <w:pPr>
        <w:spacing w:after="160" w:line="300"/>
      </w:pPr>
      <w:r>
        <w:rPr>
          <w:rFonts w:ascii="Calibri" w:cs="Calibri" w:eastAsia="Calibri" w:hAnsi="Calibri"/>
          <w:b w:val="false"/>
          <w:bCs w:val="false"/>
          <w:i w:val="false"/>
          <w:iCs w:val="false"/>
          <w:color w:val="1C1C1C"/>
          <w:sz w:val="22"/>
          <w:szCs w:val="22"/>
        </w:rPr>
        <w:t xml:space="preserve">A single strong display serif or condensed grotesk, used at large scale for key statements ('He fights so they don't have to'), does more emotional work than photography alone.</w:t>
      </w:r>
    </w:p>
    <w:p>
      <w:pPr>
        <w:pStyle w:val="Heading3"/>
        <w:spacing w:after="120" w:before="240"/>
      </w:pPr>
      <w:r>
        <w:rPr>
          <w:rFonts w:ascii="Georgia" w:cs="Georgia" w:eastAsia="Georgia" w:hAnsi="Georgia"/>
          <w:b/>
          <w:bCs/>
          <w:color w:val="8A3B1E"/>
          <w:sz w:val="22"/>
          <w:szCs w:val="22"/>
        </w:rPr>
        <w:t xml:space="preserve">Depth through layering, not literal 3D</w:t>
      </w:r>
    </w:p>
    <w:p>
      <w:pPr>
        <w:spacing w:after="160" w:line="300"/>
      </w:pPr>
      <w:r>
        <w:rPr>
          <w:rFonts w:ascii="Calibri" w:cs="Calibri" w:eastAsia="Calibri" w:hAnsi="Calibri"/>
          <w:b w:val="false"/>
          <w:bCs w:val="false"/>
          <w:i w:val="false"/>
          <w:iCs w:val="false"/>
          <w:color w:val="1C1C1C"/>
          <w:sz w:val="22"/>
          <w:szCs w:val="22"/>
        </w:rPr>
        <w:t xml:space="preserve">Award-winning storytelling sites increasingly use parallax layering, grain, and lighting rather than full 3D scenes, reserving heavier WebGL/Three.js for a single signature moment rather than the whole site.</w:t>
      </w:r>
    </w:p>
    <w:p>
      <w:pPr>
        <w:pStyle w:val="Heading3"/>
        <w:spacing w:after="120" w:before="240"/>
      </w:pPr>
      <w:r>
        <w:rPr>
          <w:rFonts w:ascii="Georgia" w:cs="Georgia" w:eastAsia="Georgia" w:hAnsi="Georgia"/>
          <w:b/>
          <w:bCs/>
          <w:color w:val="8A3B1E"/>
          <w:sz w:val="22"/>
          <w:szCs w:val="22"/>
        </w:rPr>
        <w:t xml:space="preserve">Sound design used sparingly and consensually</w:t>
      </w:r>
    </w:p>
    <w:p>
      <w:pPr>
        <w:spacing w:after="160" w:line="300"/>
      </w:pPr>
      <w:r>
        <w:rPr>
          <w:rFonts w:ascii="Calibri" w:cs="Calibri" w:eastAsia="Calibri" w:hAnsi="Calibri"/>
          <w:b w:val="false"/>
          <w:bCs w:val="false"/>
          <w:i w:val="false"/>
          <w:iCs w:val="false"/>
          <w:color w:val="1C1C1C"/>
          <w:sz w:val="22"/>
          <w:szCs w:val="22"/>
        </w:rPr>
        <w:t xml:space="preserve">Ambient, optional sound (never autoplaying) can borrow directly from the film's own sound palette — gym echoes, footsteps, township ambience — with a clear mute control.</w:t>
      </w:r>
    </w:p>
    <w:p>
      <w:pPr>
        <w:pStyle w:val="Heading3"/>
        <w:spacing w:after="120" w:before="240"/>
      </w:pPr>
      <w:r>
        <w:rPr>
          <w:rFonts w:ascii="Georgia" w:cs="Georgia" w:eastAsia="Georgia" w:hAnsi="Georgia"/>
          <w:b/>
          <w:bCs/>
          <w:color w:val="8A3B1E"/>
          <w:sz w:val="22"/>
          <w:szCs w:val="22"/>
        </w:rPr>
        <w:t xml:space="preserve">Performance and accessibility as craft, not afterthought</w:t>
      </w:r>
    </w:p>
    <w:p>
      <w:pPr>
        <w:spacing w:after="160" w:line="300"/>
      </w:pPr>
      <w:r>
        <w:rPr>
          <w:rFonts w:ascii="Calibri" w:cs="Calibri" w:eastAsia="Calibri" w:hAnsi="Calibri"/>
          <w:b w:val="false"/>
          <w:bCs w:val="false"/>
          <w:i w:val="false"/>
          <w:iCs w:val="false"/>
          <w:color w:val="1C1C1C"/>
          <w:sz w:val="22"/>
          <w:szCs w:val="22"/>
        </w:rPr>
        <w:t xml:space="preserve">The best-in-class sites in this genre load fast on mobile data (important given the Zimbabwean and diaspora audience), respect prefers-reduced-motion, and never trap keyboard or screen-reader users inside scroll-jacked sequences.</w:t>
      </w:r>
    </w:p>
    <w:p>
      <w:pPr>
        <w:pStyle w:val="Heading1"/>
        <w:pBdr>
          <w:bottom w:val="single" w:color="C9A227" w:sz="8" w:space="4"/>
        </w:pBdr>
        <w:spacing w:after="240" w:before="480"/>
      </w:pPr>
      <w:r>
        <w:rPr>
          <w:rFonts w:ascii="Georgia" w:cs="Georgia" w:eastAsia="Georgia" w:hAnsi="Georgia"/>
          <w:b/>
          <w:bCs/>
          <w:color w:val="3B2352"/>
          <w:sz w:val="32"/>
          <w:szCs w:val="32"/>
        </w:rPr>
        <w:t xml:space="preserve">6. Target Audience &amp; Personas</w:t>
      </w:r>
    </w:p>
    <w:p>
      <w:pPr>
        <w:spacing w:after="160" w:line="300"/>
      </w:pPr>
      <w:r>
        <w:rPr>
          <w:rFonts w:ascii="Calibri" w:cs="Calibri" w:eastAsia="Calibri" w:hAnsi="Calibri"/>
          <w:b w:val="false"/>
          <w:bCs w:val="false"/>
          <w:i w:val="false"/>
          <w:iCs w:val="false"/>
          <w:color w:val="1C1C1C"/>
          <w:sz w:val="22"/>
          <w:szCs w:val="22"/>
        </w:rPr>
        <w:t xml:space="preserve">Verified quotes and context suggest at least four real audiences the site must serve simultaneously.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c>
          <w:tcPr>
            <w:tcW w:type="dxa" w:w="2000"/>
            <w:shd w:fill="3B2352" w:val="clear"/>
            <w:tcMar>
              <w:top w:type="dxa" w:w="100"/>
              <w:left w:type="dxa" w:w="120"/>
              <w:bottom w:type="dxa" w:w="100"/>
              <w:right w:type="dxa" w:w="120"/>
            </w:tcMar>
          </w:tcPr>
          <w:p>
            <w:r>
              <w:rPr>
                <w:rFonts w:ascii="Calibri" w:cs="Calibri" w:eastAsia="Calibri" w:hAnsi="Calibri"/>
                <w:b/>
                <w:bCs/>
                <w:color w:val="FFFFFF"/>
                <w:sz w:val="20"/>
                <w:szCs w:val="20"/>
              </w:rPr>
              <w:t xml:space="preserve">Persona</w:t>
            </w:r>
          </w:p>
        </w:tc>
        <w:tc>
          <w:tcPr>
            <w:tcW w:type="dxa" w:w="3600"/>
            <w:shd w:fill="3B2352" w:val="clear"/>
            <w:tcMar>
              <w:top w:type="dxa" w:w="100"/>
              <w:left w:type="dxa" w:w="120"/>
              <w:bottom w:type="dxa" w:w="100"/>
              <w:right w:type="dxa" w:w="120"/>
            </w:tcMar>
          </w:tcPr>
          <w:p>
            <w:r>
              <w:rPr>
                <w:rFonts w:ascii="Calibri" w:cs="Calibri" w:eastAsia="Calibri" w:hAnsi="Calibri"/>
                <w:b/>
                <w:bCs/>
                <w:color w:val="FFFFFF"/>
                <w:sz w:val="20"/>
                <w:szCs w:val="20"/>
              </w:rPr>
              <w:t xml:space="preserve">Who they are</w:t>
            </w:r>
          </w:p>
        </w:tc>
        <w:tc>
          <w:tcPr>
            <w:tcW w:type="dxa" w:w="3600"/>
            <w:shd w:fill="3B2352" w:val="clear"/>
            <w:tcMar>
              <w:top w:type="dxa" w:w="100"/>
              <w:left w:type="dxa" w:w="120"/>
              <w:bottom w:type="dxa" w:w="100"/>
              <w:right w:type="dxa" w:w="120"/>
            </w:tcMar>
          </w:tcPr>
          <w:p>
            <w:r>
              <w:rPr>
                <w:rFonts w:ascii="Calibri" w:cs="Calibri" w:eastAsia="Calibri" w:hAnsi="Calibri"/>
                <w:b/>
                <w:bCs/>
                <w:color w:val="FFFFFF"/>
                <w:sz w:val="20"/>
                <w:szCs w:val="20"/>
              </w:rPr>
              <w:t xml:space="preserve">What they need from the site</w:t>
            </w:r>
          </w:p>
        </w:tc>
      </w:tr>
      <w:tr>
        <w:tc>
          <w:tcPr>
            <w:tcW w:type="dxa" w:w="2000"/>
            <w:tcMar>
              <w:top w:type="dxa" w:w="100"/>
              <w:left w:type="dxa" w:w="120"/>
              <w:bottom w:type="dxa" w:w="100"/>
              <w:right w:type="dxa" w:w="120"/>
            </w:tcMar>
          </w:tcPr>
          <w:p>
            <w:r>
              <w:rPr>
                <w:rFonts w:ascii="Calibri" w:cs="Calibri" w:eastAsia="Calibri" w:hAnsi="Calibri"/>
                <w:b w:val="false"/>
                <w:bCs w:val="false"/>
                <w:color w:val="1C1C1C"/>
                <w:sz w:val="20"/>
                <w:szCs w:val="20"/>
              </w:rPr>
              <w:t xml:space="preserve">The Diaspora Supporter</w:t>
            </w:r>
          </w:p>
        </w:tc>
        <w:tc>
          <w:tcPr>
            <w:tcW w:type="dxa" w:w="3600"/>
            <w:tcMar>
              <w:top w:type="dxa" w:w="100"/>
              <w:left w:type="dxa" w:w="120"/>
              <w:bottom w:type="dxa" w:w="100"/>
              <w:right w:type="dxa" w:w="120"/>
            </w:tcMar>
          </w:tcPr>
          <w:p>
            <w:r>
              <w:rPr>
                <w:rFonts w:ascii="Calibri" w:cs="Calibri" w:eastAsia="Calibri" w:hAnsi="Calibri"/>
                <w:b w:val="false"/>
                <w:bCs w:val="false"/>
                <w:color w:val="1C1C1C"/>
                <w:sz w:val="20"/>
                <w:szCs w:val="20"/>
              </w:rPr>
              <w:t xml:space="preserve">Zimbabweans abroad, or global viewers who discovered the story through Rise, moved by the film and searching for 'the real Tobias'</w:t>
            </w:r>
          </w:p>
        </w:tc>
        <w:tc>
          <w:tcPr>
            <w:tcW w:type="dxa" w:w="3600"/>
            <w:tcMar>
              <w:top w:type="dxa" w:w="100"/>
              <w:left w:type="dxa" w:w="120"/>
              <w:bottom w:type="dxa" w:w="100"/>
              <w:right w:type="dxa" w:w="120"/>
            </w:tcMar>
          </w:tcPr>
          <w:p>
            <w:r>
              <w:rPr>
                <w:rFonts w:ascii="Calibri" w:cs="Calibri" w:eastAsia="Calibri" w:hAnsi="Calibri"/>
                <w:b w:val="false"/>
                <w:bCs w:val="false"/>
                <w:color w:val="1C1C1C"/>
                <w:sz w:val="20"/>
                <w:szCs w:val="20"/>
              </w:rPr>
              <w:t xml:space="preserve">A credible, emotionally resonant home for the true story, and an obvious, trustworthy way to give or follow along</w:t>
            </w:r>
          </w:p>
        </w:tc>
      </w:tr>
      <w:tr>
        <w:tc>
          <w:tcPr>
            <w:tcW w:type="dxa" w:w="2000"/>
            <w:tcMar>
              <w:top w:type="dxa" w:w="100"/>
              <w:left w:type="dxa" w:w="120"/>
              <w:bottom w:type="dxa" w:w="100"/>
              <w:right w:type="dxa" w:w="120"/>
            </w:tcMar>
          </w:tcPr>
          <w:p>
            <w:r>
              <w:rPr>
                <w:rFonts w:ascii="Calibri" w:cs="Calibri" w:eastAsia="Calibri" w:hAnsi="Calibri"/>
                <w:b w:val="false"/>
                <w:bCs w:val="false"/>
                <w:color w:val="1C1C1C"/>
                <w:sz w:val="20"/>
                <w:szCs w:val="20"/>
              </w:rPr>
              <w:t xml:space="preserve">The Local Family</w:t>
            </w:r>
          </w:p>
        </w:tc>
        <w:tc>
          <w:tcPr>
            <w:tcW w:type="dxa" w:w="3600"/>
            <w:tcMar>
              <w:top w:type="dxa" w:w="100"/>
              <w:left w:type="dxa" w:w="120"/>
              <w:bottom w:type="dxa" w:w="100"/>
              <w:right w:type="dxa" w:w="120"/>
            </w:tcMar>
          </w:tcPr>
          <w:p>
            <w:r>
              <w:rPr>
                <w:rFonts w:ascii="Calibri" w:cs="Calibri" w:eastAsia="Calibri" w:hAnsi="Calibri"/>
                <w:b w:val="false"/>
                <w:bCs w:val="false"/>
                <w:color w:val="1C1C1C"/>
                <w:sz w:val="20"/>
                <w:szCs w:val="20"/>
              </w:rPr>
              <w:t xml:space="preserve">Parents and children in Victoria Falls and Matabeleland North considering enrolling in the gym or boxing programme</w:t>
            </w:r>
          </w:p>
        </w:tc>
        <w:tc>
          <w:tcPr>
            <w:tcW w:type="dxa" w:w="3600"/>
            <w:tcMar>
              <w:top w:type="dxa" w:w="100"/>
              <w:left w:type="dxa" w:w="120"/>
              <w:bottom w:type="dxa" w:w="100"/>
              <w:right w:type="dxa" w:w="120"/>
            </w:tcMar>
          </w:tcPr>
          <w:p>
            <w:r>
              <w:rPr>
                <w:rFonts w:ascii="Calibri" w:cs="Calibri" w:eastAsia="Calibri" w:hAnsi="Calibri"/>
                <w:b w:val="false"/>
                <w:bCs w:val="false"/>
                <w:color w:val="1C1C1C"/>
                <w:sz w:val="20"/>
                <w:szCs w:val="20"/>
              </w:rPr>
              <w:t xml:space="preserve">Practical information: schedule, cost (if any), location, safety, coaches, how to join</w:t>
            </w:r>
          </w:p>
        </w:tc>
      </w:tr>
      <w:tr>
        <w:tc>
          <w:tcPr>
            <w:tcW w:type="dxa" w:w="2000"/>
            <w:tcMar>
              <w:top w:type="dxa" w:w="100"/>
              <w:left w:type="dxa" w:w="120"/>
              <w:bottom w:type="dxa" w:w="100"/>
              <w:right w:type="dxa" w:w="120"/>
            </w:tcMar>
          </w:tcPr>
          <w:p>
            <w:r>
              <w:rPr>
                <w:rFonts w:ascii="Calibri" w:cs="Calibri" w:eastAsia="Calibri" w:hAnsi="Calibri"/>
                <w:b w:val="false"/>
                <w:bCs w:val="false"/>
                <w:color w:val="1C1C1C"/>
                <w:sz w:val="20"/>
                <w:szCs w:val="20"/>
              </w:rPr>
              <w:t xml:space="preserve">The Press / Festival Contact</w:t>
            </w:r>
          </w:p>
        </w:tc>
        <w:tc>
          <w:tcPr>
            <w:tcW w:type="dxa" w:w="3600"/>
            <w:tcMar>
              <w:top w:type="dxa" w:w="100"/>
              <w:left w:type="dxa" w:w="120"/>
              <w:bottom w:type="dxa" w:w="100"/>
              <w:right w:type="dxa" w:w="120"/>
            </w:tcMar>
          </w:tcPr>
          <w:p>
            <w:r>
              <w:rPr>
                <w:rFonts w:ascii="Calibri" w:cs="Calibri" w:eastAsia="Calibri" w:hAnsi="Calibri"/>
                <w:b w:val="false"/>
                <w:bCs w:val="false"/>
                <w:color w:val="1C1C1C"/>
                <w:sz w:val="20"/>
                <w:szCs w:val="20"/>
              </w:rPr>
              <w:t xml:space="preserve">Journalists, festival programmers, and film-industry contacts following up after Rise's Tribeca and awards run</w:t>
            </w:r>
          </w:p>
        </w:tc>
        <w:tc>
          <w:tcPr>
            <w:tcW w:type="dxa" w:w="3600"/>
            <w:tcMar>
              <w:top w:type="dxa" w:w="100"/>
              <w:left w:type="dxa" w:w="120"/>
              <w:bottom w:type="dxa" w:w="100"/>
              <w:right w:type="dxa" w:w="120"/>
            </w:tcMar>
          </w:tcPr>
          <w:p>
            <w:r>
              <w:rPr>
                <w:rFonts w:ascii="Calibri" w:cs="Calibri" w:eastAsia="Calibri" w:hAnsi="Calibri"/>
                <w:b w:val="false"/>
                <w:bCs w:val="false"/>
                <w:color w:val="1C1C1C"/>
                <w:sz w:val="20"/>
                <w:szCs w:val="20"/>
              </w:rPr>
              <w:t xml:space="preserve">Fast access to the real story, credible facts, high-res photography, and a way to contact the academy or the film team</w:t>
            </w:r>
          </w:p>
        </w:tc>
      </w:tr>
      <w:tr>
        <w:tc>
          <w:tcPr>
            <w:tcW w:type="dxa" w:w="2000"/>
            <w:tcMar>
              <w:top w:type="dxa" w:w="100"/>
              <w:left w:type="dxa" w:w="120"/>
              <w:bottom w:type="dxa" w:w="100"/>
              <w:right w:type="dxa" w:w="120"/>
            </w:tcMar>
          </w:tcPr>
          <w:p>
            <w:r>
              <w:rPr>
                <w:rFonts w:ascii="Calibri" w:cs="Calibri" w:eastAsia="Calibri" w:hAnsi="Calibri"/>
                <w:b w:val="false"/>
                <w:bCs w:val="false"/>
                <w:color w:val="1C1C1C"/>
                <w:sz w:val="20"/>
                <w:szCs w:val="20"/>
              </w:rPr>
              <w:t xml:space="preserve">The Sponsor / NGO Partner</w:t>
            </w:r>
          </w:p>
        </w:tc>
        <w:tc>
          <w:tcPr>
            <w:tcW w:type="dxa" w:w="3600"/>
            <w:tcMar>
              <w:top w:type="dxa" w:w="100"/>
              <w:left w:type="dxa" w:w="120"/>
              <w:bottom w:type="dxa" w:w="100"/>
              <w:right w:type="dxa" w:w="120"/>
            </w:tcMar>
          </w:tcPr>
          <w:p>
            <w:r>
              <w:rPr>
                <w:rFonts w:ascii="Calibri" w:cs="Calibri" w:eastAsia="Calibri" w:hAnsi="Calibri"/>
                <w:b w:val="false"/>
                <w:bCs w:val="false"/>
                <w:color w:val="1C1C1C"/>
                <w:sz w:val="20"/>
                <w:szCs w:val="20"/>
              </w:rPr>
              <w:t xml:space="preserve">Organisations like MATTER or It Gym, or new potential partners evaluating credibility and impact</w:t>
            </w:r>
          </w:p>
        </w:tc>
        <w:tc>
          <w:tcPr>
            <w:tcW w:type="dxa" w:w="3600"/>
            <w:tcMar>
              <w:top w:type="dxa" w:w="100"/>
              <w:left w:type="dxa" w:w="120"/>
              <w:bottom w:type="dxa" w:w="100"/>
              <w:right w:type="dxa" w:w="120"/>
            </w:tcMar>
          </w:tcPr>
          <w:p>
            <w:r>
              <w:rPr>
                <w:rFonts w:ascii="Calibri" w:cs="Calibri" w:eastAsia="Calibri" w:hAnsi="Calibri"/>
                <w:b w:val="false"/>
                <w:bCs w:val="false"/>
                <w:color w:val="1C1C1C"/>
                <w:sz w:val="20"/>
                <w:szCs w:val="20"/>
              </w:rPr>
              <w:t xml:space="preserve">Clear evidence of impact (numbers, tournament results, testimonials), transparency about the children's home, and a defined ask</w:t>
            </w:r>
          </w:p>
        </w:tc>
      </w:tr>
    </w:tbl>
    <w:p>
      <w:pPr>
        <w:pStyle w:val="Heading1"/>
        <w:pBdr>
          <w:bottom w:val="single" w:color="C9A227" w:sz="8" w:space="4"/>
        </w:pBdr>
        <w:spacing w:after="240" w:before="480"/>
      </w:pPr>
      <w:r>
        <w:rPr>
          <w:rFonts w:ascii="Georgia" w:cs="Georgia" w:eastAsia="Georgia" w:hAnsi="Georgia"/>
          <w:b/>
          <w:bCs/>
          <w:color w:val="3B2352"/>
          <w:sz w:val="32"/>
          <w:szCs w:val="32"/>
        </w:rPr>
        <w:t xml:space="preserve">7. Website Goals</w:t>
      </w:r>
    </w:p>
    <w:p>
      <w:pPr>
        <w:pStyle w:val="ListParagraph"/>
        <w:numPr>
          <w:ilvl w:val="0"/>
          <w:numId w:val="2"/>
        </w:numPr>
        <w:spacing w:after="100"/>
      </w:pPr>
      <w:r>
        <w:rPr>
          <w:rFonts w:ascii="Calibri" w:cs="Calibri" w:eastAsia="Calibri" w:hAnsi="Calibri"/>
          <w:color w:val="1C1C1C"/>
          <w:sz w:val="22"/>
          <w:szCs w:val="22"/>
        </w:rPr>
        <w:t xml:space="preserve">Establish VFBA's first true owned digital home — currently the story is told entirely through third parties (news outlets, NGOs, film press).</w:t>
      </w:r>
    </w:p>
    <w:p>
      <w:pPr>
        <w:pStyle w:val="ListParagraph"/>
        <w:numPr>
          <w:ilvl w:val="0"/>
          <w:numId w:val="2"/>
        </w:numPr>
        <w:spacing w:after="100"/>
      </w:pPr>
      <w:r>
        <w:rPr>
          <w:rFonts w:ascii="Calibri" w:cs="Calibri" w:eastAsia="Calibri" w:hAnsi="Calibri"/>
          <w:color w:val="1C1C1C"/>
          <w:sz w:val="22"/>
          <w:szCs w:val="22"/>
        </w:rPr>
        <w:t xml:space="preserve">Correctly and respectfully connect the academy to the film Rise, with Coach Tobias's involvement clearly and accurately represented.</w:t>
      </w:r>
    </w:p>
    <w:p>
      <w:pPr>
        <w:pStyle w:val="ListParagraph"/>
        <w:numPr>
          <w:ilvl w:val="0"/>
          <w:numId w:val="2"/>
        </w:numPr>
        <w:spacing w:after="100"/>
      </w:pPr>
      <w:r>
        <w:rPr>
          <w:rFonts w:ascii="Calibri" w:cs="Calibri" w:eastAsia="Calibri" w:hAnsi="Calibri"/>
          <w:color w:val="1C1C1C"/>
          <w:sz w:val="22"/>
          <w:szCs w:val="22"/>
        </w:rPr>
        <w:t xml:space="preserve">Convert emotional interest (from the film's festival run) into concrete action: donations, volunteering, visiting, or sponsorship enquiries.</w:t>
      </w:r>
    </w:p>
    <w:p>
      <w:pPr>
        <w:pStyle w:val="ListParagraph"/>
        <w:numPr>
          <w:ilvl w:val="0"/>
          <w:numId w:val="2"/>
        </w:numPr>
        <w:spacing w:after="100"/>
      </w:pPr>
      <w:r>
        <w:rPr>
          <w:rFonts w:ascii="Calibri" w:cs="Calibri" w:eastAsia="Calibri" w:hAnsi="Calibri"/>
          <w:color w:val="1C1C1C"/>
          <w:sz w:val="22"/>
          <w:szCs w:val="22"/>
        </w:rPr>
        <w:t xml:space="preserve">Serve the practical needs of local Victoria Falls families alongside the cinematic global story — the site must not become so artful that it forgets its actual community function.</w:t>
      </w:r>
    </w:p>
    <w:p>
      <w:pPr>
        <w:pStyle w:val="ListParagraph"/>
        <w:numPr>
          <w:ilvl w:val="0"/>
          <w:numId w:val="2"/>
        </w:numPr>
        <w:spacing w:after="100"/>
      </w:pPr>
      <w:r>
        <w:rPr>
          <w:rFonts w:ascii="Calibri" w:cs="Calibri" w:eastAsia="Calibri" w:hAnsi="Calibri"/>
          <w:color w:val="1C1C1C"/>
          <w:sz w:val="22"/>
          <w:szCs w:val="22"/>
        </w:rPr>
        <w:t xml:space="preserve">Build a foundation (design system, CMS-ready content structure) that the academy's small team can maintain long after festival attention fades.</w:t>
      </w:r>
    </w:p>
    <w:p>
      <w:pPr>
        <w:pStyle w:val="Heading1"/>
        <w:pBdr>
          <w:bottom w:val="single" w:color="C9A227" w:sz="8" w:space="4"/>
        </w:pBdr>
        <w:spacing w:after="240" w:before="480"/>
      </w:pPr>
      <w:r>
        <w:rPr>
          <w:rFonts w:ascii="Georgia" w:cs="Georgia" w:eastAsia="Georgia" w:hAnsi="Georgia"/>
          <w:b/>
          <w:bCs/>
          <w:color w:val="3B2352"/>
          <w:sz w:val="32"/>
          <w:szCs w:val="32"/>
        </w:rPr>
        <w:t xml:space="preserve">8. Content Audit</w:t>
      </w:r>
    </w:p>
    <w:p>
      <w:pPr>
        <w:pStyle w:val="Heading2"/>
        <w:spacing w:after="160" w:before="320"/>
      </w:pPr>
      <w:r>
        <w:rPr>
          <w:rFonts w:ascii="Georgia" w:cs="Georgia" w:eastAsia="Georgia" w:hAnsi="Georgia"/>
          <w:b/>
          <w:bCs/>
          <w:color w:val="1C1C1C"/>
          <w:sz w:val="26"/>
          <w:szCs w:val="26"/>
        </w:rPr>
        <w:t xml:space="preserve">8.1 Public Content Usable in Version 1 (with permissions confirmed)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3B2352" w:val="clear"/>
            <w:tcMar>
              <w:top w:type="dxa" w:w="100"/>
              <w:left w:type="dxa" w:w="120"/>
              <w:bottom w:type="dxa" w:w="100"/>
              <w:right w:type="dxa" w:w="120"/>
            </w:tcMar>
          </w:tcPr>
          <w:p>
            <w:r>
              <w:rPr>
                <w:rFonts w:ascii="Calibri" w:cs="Calibri" w:eastAsia="Calibri" w:hAnsi="Calibri"/>
                <w:b/>
                <w:bCs/>
                <w:color w:val="FFFFFF"/>
                <w:sz w:val="20"/>
                <w:szCs w:val="20"/>
              </w:rPr>
              <w:t xml:space="preserve">Type</w:t>
            </w:r>
          </w:p>
        </w:tc>
        <w:tc>
          <w:tcPr>
            <w:tcW w:type="dxa" w:w="6800"/>
            <w:shd w:fill="3B2352" w:val="clear"/>
            <w:tcMar>
              <w:top w:type="dxa" w:w="100"/>
              <w:left w:type="dxa" w:w="120"/>
              <w:bottom w:type="dxa" w:w="100"/>
              <w:right w:type="dxa" w:w="120"/>
            </w:tcMar>
          </w:tcPr>
          <w:p>
            <w:r>
              <w:rPr>
                <w:rFonts w:ascii="Calibri" w:cs="Calibri" w:eastAsia="Calibri" w:hAnsi="Calibri"/>
                <w:b/>
                <w:bCs/>
                <w:color w:val="FFFFFF"/>
                <w:sz w:val="20"/>
                <w:szCs w:val="20"/>
              </w:rPr>
              <w:t xml:space="preserve">Available source</w:t>
            </w:r>
          </w:p>
        </w:tc>
      </w:tr>
      <w:tr>
        <w:tc>
          <w:tcPr>
            <w:tcW w:type="dxa" w:w="2400"/>
            <w:tcMar>
              <w:top w:type="dxa" w:w="100"/>
              <w:left w:type="dxa" w:w="120"/>
              <w:bottom w:type="dxa" w:w="100"/>
              <w:right w:type="dxa" w:w="120"/>
            </w:tcMar>
          </w:tcPr>
          <w:p>
            <w:r>
              <w:rPr>
                <w:rFonts w:ascii="Calibri" w:cs="Calibri" w:eastAsia="Calibri" w:hAnsi="Calibri"/>
                <w:b w:val="false"/>
                <w:bCs w:val="false"/>
                <w:color w:val="1C1C1C"/>
                <w:sz w:val="20"/>
                <w:szCs w:val="20"/>
              </w:rPr>
              <w:t xml:space="preserve">Articles / long-form</w:t>
            </w:r>
          </w:p>
        </w:tc>
        <w:tc>
          <w:tcPr>
            <w:tcW w:type="dxa" w:w="6800"/>
            <w:tcMar>
              <w:top w:type="dxa" w:w="100"/>
              <w:left w:type="dxa" w:w="120"/>
              <w:bottom w:type="dxa" w:w="100"/>
              <w:right w:type="dxa" w:w="120"/>
            </w:tcMar>
          </w:tcPr>
          <w:p>
            <w:r>
              <w:rPr>
                <w:rFonts w:ascii="Calibri" w:cs="Calibri" w:eastAsia="Calibri" w:hAnsi="Calibri"/>
                <w:b w:val="false"/>
                <w:bCs w:val="false"/>
                <w:color w:val="1C1C1C"/>
                <w:sz w:val="20"/>
                <w:szCs w:val="20"/>
              </w:rPr>
              <w:t xml:space="preserve">MATTER.ngo features; It Gym VFBA page; The Sunday News, The Chronicle, The Herald coverage; The Standard/Guardian feature on Rise and Mupfuti</w:t>
            </w:r>
          </w:p>
        </w:tc>
      </w:tr>
      <w:tr>
        <w:tc>
          <w:tcPr>
            <w:tcW w:type="dxa" w:w="2400"/>
            <w:tcMar>
              <w:top w:type="dxa" w:w="100"/>
              <w:left w:type="dxa" w:w="120"/>
              <w:bottom w:type="dxa" w:w="100"/>
              <w:right w:type="dxa" w:w="120"/>
            </w:tcMar>
          </w:tcPr>
          <w:p>
            <w:r>
              <w:rPr>
                <w:rFonts w:ascii="Calibri" w:cs="Calibri" w:eastAsia="Calibri" w:hAnsi="Calibri"/>
                <w:b w:val="false"/>
                <w:bCs w:val="false"/>
                <w:color w:val="1C1C1C"/>
                <w:sz w:val="20"/>
                <w:szCs w:val="20"/>
              </w:rPr>
              <w:t xml:space="preserve">Founder quotes</w:t>
            </w:r>
          </w:p>
        </w:tc>
        <w:tc>
          <w:tcPr>
            <w:tcW w:type="dxa" w:w="6800"/>
            <w:tcMar>
              <w:top w:type="dxa" w:w="100"/>
              <w:left w:type="dxa" w:w="120"/>
              <w:bottom w:type="dxa" w:w="100"/>
              <w:right w:type="dxa" w:w="120"/>
            </w:tcMar>
          </w:tcPr>
          <w:p>
            <w:r>
              <w:rPr>
                <w:rFonts w:ascii="Calibri" w:cs="Calibri" w:eastAsia="Calibri" w:hAnsi="Calibri"/>
                <w:b w:val="false"/>
                <w:bCs w:val="false"/>
                <w:color w:val="1C1C1C"/>
                <w:sz w:val="20"/>
                <w:szCs w:val="20"/>
              </w:rPr>
              <w:t xml:space="preserve">Direct quotes from Mupfuti in Sunday News (2024) and The Standard/Guardian (undated) covering mission, vision and personal history</w:t>
            </w:r>
          </w:p>
        </w:tc>
      </w:tr>
      <w:tr>
        <w:tc>
          <w:tcPr>
            <w:tcW w:type="dxa" w:w="2400"/>
            <w:tcMar>
              <w:top w:type="dxa" w:w="100"/>
              <w:left w:type="dxa" w:w="120"/>
              <w:bottom w:type="dxa" w:w="100"/>
              <w:right w:type="dxa" w:w="120"/>
            </w:tcMar>
          </w:tcPr>
          <w:p>
            <w:r>
              <w:rPr>
                <w:rFonts w:ascii="Calibri" w:cs="Calibri" w:eastAsia="Calibri" w:hAnsi="Calibri"/>
                <w:b w:val="false"/>
                <w:bCs w:val="false"/>
                <w:color w:val="1C1C1C"/>
                <w:sz w:val="20"/>
                <w:szCs w:val="20"/>
              </w:rPr>
              <w:t xml:space="preserve">Film press</w:t>
            </w:r>
          </w:p>
        </w:tc>
        <w:tc>
          <w:tcPr>
            <w:tcW w:type="dxa" w:w="6800"/>
            <w:tcMar>
              <w:top w:type="dxa" w:w="100"/>
              <w:left w:type="dxa" w:w="120"/>
              <w:bottom w:type="dxa" w:w="100"/>
              <w:right w:type="dxa" w:w="120"/>
            </w:tcMar>
          </w:tcPr>
          <w:p>
            <w:r>
              <w:rPr>
                <w:rFonts w:ascii="Calibri" w:cs="Calibri" w:eastAsia="Calibri" w:hAnsi="Calibri"/>
                <w:b w:val="false"/>
                <w:bCs w:val="false"/>
                <w:color w:val="1C1C1C"/>
                <w:sz w:val="20"/>
                <w:szCs w:val="20"/>
              </w:rPr>
              <w:t xml:space="preserve">Tribeca Festival listing; Wikipedia entries for Rise (2025 film) and Jessica J. Rowlands; reviews from Afrocritik, The Movie Buff, Film &amp; Television Business, Landlocked Magazine, The Contending, AmNews Curtain Raiser</w:t>
            </w:r>
          </w:p>
        </w:tc>
      </w:tr>
      <w:tr>
        <w:tc>
          <w:tcPr>
            <w:tcW w:type="dxa" w:w="2400"/>
            <w:tcMar>
              <w:top w:type="dxa" w:w="100"/>
              <w:left w:type="dxa" w:w="120"/>
              <w:bottom w:type="dxa" w:w="100"/>
              <w:right w:type="dxa" w:w="120"/>
            </w:tcMar>
          </w:tcPr>
          <w:p>
            <w:r>
              <w:rPr>
                <w:rFonts w:ascii="Calibri" w:cs="Calibri" w:eastAsia="Calibri" w:hAnsi="Calibri"/>
                <w:b w:val="false"/>
                <w:bCs w:val="false"/>
                <w:color w:val="1C1C1C"/>
                <w:sz w:val="20"/>
                <w:szCs w:val="20"/>
              </w:rPr>
              <w:t xml:space="preserve">Social content</w:t>
            </w:r>
          </w:p>
        </w:tc>
        <w:tc>
          <w:tcPr>
            <w:tcW w:type="dxa" w:w="6800"/>
            <w:tcMar>
              <w:top w:type="dxa" w:w="100"/>
              <w:left w:type="dxa" w:w="120"/>
              <w:bottom w:type="dxa" w:w="100"/>
              <w:right w:type="dxa" w:w="120"/>
            </w:tcMar>
          </w:tcPr>
          <w:p>
            <w:r>
              <w:rPr>
                <w:rFonts w:ascii="Calibri" w:cs="Calibri" w:eastAsia="Calibri" w:hAnsi="Calibri"/>
                <w:b w:val="false"/>
                <w:bCs w:val="false"/>
                <w:color w:val="1C1C1C"/>
                <w:sz w:val="20"/>
                <w:szCs w:val="20"/>
              </w:rPr>
              <w:t xml:space="preserve">Facebook page posts/photos; Instagram feed (@victoriafallsboxingacademy)</w:t>
            </w:r>
          </w:p>
        </w:tc>
      </w:tr>
      <w:tr>
        <w:tc>
          <w:tcPr>
            <w:tcW w:type="dxa" w:w="2400"/>
            <w:tcMar>
              <w:top w:type="dxa" w:w="100"/>
              <w:left w:type="dxa" w:w="120"/>
              <w:bottom w:type="dxa" w:w="100"/>
              <w:right w:type="dxa" w:w="120"/>
            </w:tcMar>
          </w:tcPr>
          <w:p>
            <w:r>
              <w:rPr>
                <w:rFonts w:ascii="Calibri" w:cs="Calibri" w:eastAsia="Calibri" w:hAnsi="Calibri"/>
                <w:b w:val="false"/>
                <w:bCs w:val="false"/>
                <w:color w:val="1C1C1C"/>
                <w:sz w:val="20"/>
                <w:szCs w:val="20"/>
              </w:rPr>
              <w:t xml:space="preserve">Video</w:t>
            </w:r>
          </w:p>
        </w:tc>
        <w:tc>
          <w:tcPr>
            <w:tcW w:type="dxa" w:w="6800"/>
            <w:tcMar>
              <w:top w:type="dxa" w:w="100"/>
              <w:left w:type="dxa" w:w="120"/>
              <w:bottom w:type="dxa" w:w="100"/>
              <w:right w:type="dxa" w:w="120"/>
            </w:tcMar>
          </w:tcPr>
          <w:p>
            <w:r>
              <w:rPr>
                <w:rFonts w:ascii="Calibri" w:cs="Calibri" w:eastAsia="Calibri" w:hAnsi="Calibri"/>
                <w:b w:val="false"/>
                <w:bCs w:val="false"/>
                <w:color w:val="1C1C1C"/>
                <w:sz w:val="20"/>
                <w:szCs w:val="20"/>
              </w:rPr>
              <w:t xml:space="preserve">Existing YouTube founder interview; Rise trailer (rights-permitting, see Missing Content)</w:t>
            </w:r>
          </w:p>
        </w:tc>
      </w:tr>
      <w:tr>
        <w:tc>
          <w:tcPr>
            <w:tcW w:type="dxa" w:w="2400"/>
            <w:tcMar>
              <w:top w:type="dxa" w:w="100"/>
              <w:left w:type="dxa" w:w="120"/>
              <w:bottom w:type="dxa" w:w="100"/>
              <w:right w:type="dxa" w:w="120"/>
            </w:tcMar>
          </w:tcPr>
          <w:p>
            <w:r>
              <w:rPr>
                <w:rFonts w:ascii="Calibri" w:cs="Calibri" w:eastAsia="Calibri" w:hAnsi="Calibri"/>
                <w:b w:val="false"/>
                <w:bCs w:val="false"/>
                <w:color w:val="1C1C1C"/>
                <w:sz w:val="20"/>
                <w:szCs w:val="20"/>
              </w:rPr>
              <w:t xml:space="preserve">Third-party photography</w:t>
            </w:r>
          </w:p>
        </w:tc>
        <w:tc>
          <w:tcPr>
            <w:tcW w:type="dxa" w:w="6800"/>
            <w:tcMar>
              <w:top w:type="dxa" w:w="100"/>
              <w:left w:type="dxa" w:w="120"/>
              <w:bottom w:type="dxa" w:w="100"/>
              <w:right w:type="dxa" w:w="120"/>
            </w:tcMar>
          </w:tcPr>
          <w:p>
            <w:r>
              <w:rPr>
                <w:rFonts w:ascii="Calibri" w:cs="Calibri" w:eastAsia="Calibri" w:hAnsi="Calibri"/>
                <w:b w:val="false"/>
                <w:bCs w:val="false"/>
                <w:color w:val="1C1C1C"/>
                <w:sz w:val="20"/>
                <w:szCs w:val="20"/>
              </w:rPr>
              <w:t xml:space="preserve">Images referenced on MATTER, It Gym and news articles (usage rights must be confirmed per source before reuse)</w:t>
            </w:r>
          </w:p>
        </w:tc>
      </w:tr>
    </w:tbl>
    <w:p>
      <w:pPr>
        <w:pBdr>
          <w:left w:val="single" w:color="C9A227" w:sz="12" w:space="8"/>
        </w:pBdr>
        <w:spacing w:after="200" w:before="80" w:line="276"/>
        <w:ind w:left="360"/>
      </w:pPr>
      <w:r>
        <w:rPr>
          <w:rFonts w:ascii="Calibri" w:cs="Calibri" w:eastAsia="Calibri" w:hAnsi="Calibri"/>
          <w:i/>
          <w:iCs/>
          <w:color w:val="595959"/>
          <w:sz w:val="20"/>
          <w:szCs w:val="20"/>
        </w:rPr>
        <w:t xml:space="preserve">Every third-party photo, video frame, and article excerpt listed above requires explicit permission (from the academy, MATTER/It Gym, or the Rise production team as applicable) before use on the live site. This audit identifies where material exists — it does not grant rights to use it.</w:t>
      </w:r>
    </w:p>
    <w:p>
      <w:pPr>
        <w:pStyle w:val="Heading1"/>
        <w:pBdr>
          <w:bottom w:val="single" w:color="C9A227" w:sz="8" w:space="4"/>
        </w:pBdr>
        <w:spacing w:after="240" w:before="480"/>
      </w:pPr>
      <w:r>
        <w:rPr>
          <w:rFonts w:ascii="Georgia" w:cs="Georgia" w:eastAsia="Georgia" w:hAnsi="Georgia"/>
          <w:b/>
          <w:bCs/>
          <w:color w:val="3B2352"/>
          <w:sz w:val="32"/>
          <w:szCs w:val="32"/>
        </w:rPr>
        <w:t xml:space="preserve">9. Design Recommendations</w:t>
      </w:r>
    </w:p>
    <w:p>
      <w:pPr>
        <w:pStyle w:val="Heading2"/>
        <w:spacing w:after="160" w:before="320"/>
      </w:pPr>
      <w:r>
        <w:rPr>
          <w:rFonts w:ascii="Georgia" w:cs="Georgia" w:eastAsia="Georgia" w:hAnsi="Georgia"/>
          <w:b/>
          <w:bCs/>
          <w:color w:val="1C1C1C"/>
          <w:sz w:val="26"/>
          <w:szCs w:val="26"/>
        </w:rPr>
        <w:t xml:space="preserve">9.1 Typography</w:t>
      </w:r>
    </w:p>
    <w:p>
      <w:pPr>
        <w:spacing w:after="160" w:line="300"/>
      </w:pPr>
      <w:r>
        <w:rPr>
          <w:rFonts w:ascii="Calibri" w:cs="Calibri" w:eastAsia="Calibri" w:hAnsi="Calibri"/>
          <w:b w:val="false"/>
          <w:bCs w:val="false"/>
          <w:i w:val="false"/>
          <w:iCs w:val="false"/>
          <w:color w:val="1C1C1C"/>
          <w:sz w:val="22"/>
          <w:szCs w:val="22"/>
        </w:rPr>
        <w:t xml:space="preserve">Pair one confident display serif or slab (for milestone statements and chapter titles — echoing documentary-film title cards) with a clean, highly legible grotesk for body copy and UI. Weight contrast should do the emotional heavy lifting rather than colour or decoration.</w:t>
      </w:r>
    </w:p>
    <w:p>
      <w:pPr>
        <w:pStyle w:val="Heading2"/>
        <w:spacing w:after="160" w:before="320"/>
      </w:pPr>
      <w:r>
        <w:rPr>
          <w:rFonts w:ascii="Georgia" w:cs="Georgia" w:eastAsia="Georgia" w:hAnsi="Georgia"/>
          <w:b/>
          <w:bCs/>
          <w:color w:val="1C1C1C"/>
          <w:sz w:val="26"/>
          <w:szCs w:val="26"/>
        </w:rPr>
        <w:t xml:space="preserve">9.2 Colour Palette</w:t>
      </w:r>
    </w:p>
    <w:p>
      <w:pPr>
        <w:spacing w:after="160" w:line="300"/>
      </w:pPr>
      <w:r>
        <w:rPr>
          <w:rFonts w:ascii="Calibri" w:cs="Calibri" w:eastAsia="Calibri" w:hAnsi="Calibri"/>
          <w:b w:val="false"/>
          <w:bCs w:val="false"/>
          <w:i w:val="false"/>
          <w:iCs w:val="false"/>
          <w:color w:val="1C1C1C"/>
          <w:sz w:val="22"/>
          <w:szCs w:val="22"/>
        </w:rPr>
        <w:t xml:space="preserve">No official palette is confirmed (see Section 3.1). Pending that confirmation, the recommended direction draws directly from the verified visual language of Rise itself — described repeatedly by critics as rust reds, deep greens and sun-drenched yellows — grounded with a warm charcoal/near-black for contrast and legibility, rather than inventing an unrelated palette. This has the added benefit of visually linking the website to the film on sight.</w:t>
      </w:r>
    </w:p>
    <w:p>
      <w:pPr>
        <w:pStyle w:val="Heading2"/>
        <w:spacing w:after="160" w:before="320"/>
      </w:pPr>
      <w:r>
        <w:rPr>
          <w:rFonts w:ascii="Georgia" w:cs="Georgia" w:eastAsia="Georgia" w:hAnsi="Georgia"/>
          <w:b/>
          <w:bCs/>
          <w:color w:val="1C1C1C"/>
          <w:sz w:val="26"/>
          <w:szCs w:val="26"/>
        </w:rPr>
        <w:t xml:space="preserve">9.3 Photography &amp; Video Style</w:t>
      </w:r>
    </w:p>
    <w:p>
      <w:pPr>
        <w:spacing w:after="160" w:line="300"/>
      </w:pPr>
      <w:r>
        <w:rPr>
          <w:rFonts w:ascii="Calibri" w:cs="Calibri" w:eastAsia="Calibri" w:hAnsi="Calibri"/>
          <w:b w:val="false"/>
          <w:bCs w:val="false"/>
          <w:i w:val="false"/>
          <w:iCs w:val="false"/>
          <w:color w:val="1C1C1C"/>
          <w:sz w:val="22"/>
          <w:szCs w:val="22"/>
        </w:rPr>
        <w:t xml:space="preserve">Favour natural light, handheld warmth, and real gym texture (rope, canvas, dust, sweat, chalk) over polished studio sports photography — consistent with cinematographer Jacques Naudé's approach in Rise: sweeping wide landscape shots contrasted with tight, intimate interiors.</w:t>
      </w:r>
    </w:p>
    <w:p>
      <w:pPr>
        <w:pStyle w:val="Heading2"/>
        <w:spacing w:after="160" w:before="320"/>
      </w:pPr>
      <w:r>
        <w:rPr>
          <w:rFonts w:ascii="Georgia" w:cs="Georgia" w:eastAsia="Georgia" w:hAnsi="Georgia"/>
          <w:b/>
          <w:bCs/>
          <w:color w:val="1C1C1C"/>
          <w:sz w:val="26"/>
          <w:szCs w:val="26"/>
        </w:rPr>
        <w:t xml:space="preserve">9.4 Iconography, Texture &amp; Backgrounds</w:t>
      </w:r>
    </w:p>
    <w:p>
      <w:pPr>
        <w:pStyle w:val="ListParagraph"/>
        <w:numPr>
          <w:ilvl w:val="0"/>
          <w:numId w:val="2"/>
        </w:numPr>
        <w:spacing w:after="100"/>
      </w:pPr>
      <w:r>
        <w:rPr>
          <w:rFonts w:ascii="Calibri" w:cs="Calibri" w:eastAsia="Calibri" w:hAnsi="Calibri"/>
          <w:color w:val="1C1C1C"/>
          <w:sz w:val="22"/>
          <w:szCs w:val="22"/>
        </w:rPr>
        <w:t xml:space="preserve">Iconography: minimal, line-based marks (glove, rope, sun/falls silhouette) used sparingly as wayfinding, not decoration.</w:t>
      </w:r>
    </w:p>
    <w:p>
      <w:pPr>
        <w:pStyle w:val="ListParagraph"/>
        <w:numPr>
          <w:ilvl w:val="0"/>
          <w:numId w:val="2"/>
        </w:numPr>
        <w:spacing w:after="100"/>
      </w:pPr>
      <w:r>
        <w:rPr>
          <w:rFonts w:ascii="Calibri" w:cs="Calibri" w:eastAsia="Calibri" w:hAnsi="Calibri"/>
          <w:color w:val="1C1C1C"/>
          <w:sz w:val="22"/>
          <w:szCs w:val="22"/>
        </w:rPr>
        <w:t xml:space="preserve">Texture: subtle canvas/paper grain and light dust/grain overlays on imagery to avoid a sterile, corporate feel.</w:t>
      </w:r>
    </w:p>
    <w:p>
      <w:pPr>
        <w:pStyle w:val="ListParagraph"/>
        <w:numPr>
          <w:ilvl w:val="0"/>
          <w:numId w:val="2"/>
        </w:numPr>
        <w:spacing w:after="100"/>
      </w:pPr>
      <w:r>
        <w:rPr>
          <w:rFonts w:ascii="Calibri" w:cs="Calibri" w:eastAsia="Calibri" w:hAnsi="Calibri"/>
          <w:color w:val="1C1C1C"/>
          <w:sz w:val="22"/>
          <w:szCs w:val="22"/>
        </w:rPr>
        <w:t xml:space="preserve">Backgrounds: deep charcoal or rust-toned sections for emotional/story chapters; brighter, cleaner sections for practical information (schedule, contact, donate).</w:t>
      </w:r>
    </w:p>
    <w:p>
      <w:pPr>
        <w:pStyle w:val="Heading1"/>
        <w:pBdr>
          <w:bottom w:val="single" w:color="C9A227" w:sz="8" w:space="4"/>
        </w:pBdr>
        <w:spacing w:after="240" w:before="480"/>
      </w:pPr>
      <w:r>
        <w:rPr>
          <w:rFonts w:ascii="Georgia" w:cs="Georgia" w:eastAsia="Georgia" w:hAnsi="Georgia"/>
          <w:b/>
          <w:bCs/>
          <w:color w:val="3B2352"/>
          <w:sz w:val="32"/>
          <w:szCs w:val="32"/>
        </w:rPr>
        <w:t xml:space="preserve">10. Motion &amp; 3D Recommendations</w:t>
      </w:r>
    </w:p>
    <w:p>
      <w:pPr>
        <w:pStyle w:val="ListParagraph"/>
        <w:numPr>
          <w:ilvl w:val="0"/>
          <w:numId w:val="2"/>
        </w:numPr>
        <w:spacing w:after="100"/>
      </w:pPr>
      <w:r>
        <w:rPr>
          <w:rFonts w:ascii="Calibri" w:cs="Calibri" w:eastAsia="Calibri" w:hAnsi="Calibri"/>
          <w:color w:val="1C1C1C"/>
          <w:sz w:val="22"/>
          <w:szCs w:val="22"/>
        </w:rPr>
        <w:t xml:space="preserve">Motion language: purposeful and physical — easing curves that feel like a jab or a step, not generic bounce/elastic effects.</w:t>
      </w:r>
    </w:p>
    <w:p>
      <w:pPr>
        <w:pStyle w:val="ListParagraph"/>
        <w:numPr>
          <w:ilvl w:val="0"/>
          <w:numId w:val="2"/>
        </w:numPr>
        <w:spacing w:after="100"/>
      </w:pPr>
      <w:r>
        <w:rPr>
          <w:rFonts w:ascii="Calibri" w:cs="Calibri" w:eastAsia="Calibri" w:hAnsi="Calibri"/>
          <w:color w:val="1C1C1C"/>
          <w:sz w:val="22"/>
          <w:szCs w:val="22"/>
        </w:rPr>
        <w:t xml:space="preserve">Animation principles: reveal information the way the film reveals character — gradually, through restraint, never all at once.</w:t>
      </w:r>
    </w:p>
    <w:p>
      <w:pPr>
        <w:pStyle w:val="ListParagraph"/>
        <w:numPr>
          <w:ilvl w:val="0"/>
          <w:numId w:val="2"/>
        </w:numPr>
        <w:spacing w:after="100"/>
      </w:pPr>
      <w:r>
        <w:rPr>
          <w:rFonts w:ascii="Calibri" w:cs="Calibri" w:eastAsia="Calibri" w:hAnsi="Calibri"/>
          <w:color w:val="1C1C1C"/>
          <w:sz w:val="22"/>
          <w:szCs w:val="22"/>
        </w:rPr>
        <w:t xml:space="preserve">3D/Three.js use: reserve for a single signature moment (for example, a gently rotating environment as the user 'arrives' at the gym, or a light-particle effect representing dust in sunbeams through the roof) rather than throughout — protecting performance and keeping focus on real photography and story.</w:t>
      </w:r>
    </w:p>
    <w:p>
      <w:pPr>
        <w:pStyle w:val="ListParagraph"/>
        <w:numPr>
          <w:ilvl w:val="0"/>
          <w:numId w:val="2"/>
        </w:numPr>
        <w:spacing w:after="100"/>
      </w:pPr>
      <w:r>
        <w:rPr>
          <w:rFonts w:ascii="Calibri" w:cs="Calibri" w:eastAsia="Calibri" w:hAnsi="Calibri"/>
          <w:color w:val="1C1C1C"/>
          <w:sz w:val="22"/>
          <w:szCs w:val="22"/>
        </w:rPr>
        <w:t xml:space="preserve">Camera movement (in video/scroll sequences): slow push-ins on emotional beats, wider drifting movement on landscape/establishing beats — directly mirroring the film's own cinematography.</w:t>
      </w:r>
    </w:p>
    <w:p>
      <w:pPr>
        <w:pStyle w:val="ListParagraph"/>
        <w:numPr>
          <w:ilvl w:val="0"/>
          <w:numId w:val="2"/>
        </w:numPr>
        <w:spacing w:after="100"/>
      </w:pPr>
      <w:r>
        <w:rPr>
          <w:rFonts w:ascii="Calibri" w:cs="Calibri" w:eastAsia="Calibri" w:hAnsi="Calibri"/>
          <w:color w:val="1C1C1C"/>
          <w:sz w:val="22"/>
          <w:szCs w:val="22"/>
        </w:rPr>
        <w:t xml:space="preserve">Lighting direction: warm, low, golden-hour bias throughout, consistent with Victoria Falls's actual light and the film's sun-drenched treatment.</w:t>
      </w:r>
    </w:p>
    <w:p>
      <w:pPr>
        <w:pStyle w:val="Heading1"/>
        <w:pBdr>
          <w:bottom w:val="single" w:color="C9A227" w:sz="8" w:space="4"/>
        </w:pBdr>
        <w:spacing w:after="240" w:before="480"/>
      </w:pPr>
      <w:r>
        <w:rPr>
          <w:rFonts w:ascii="Georgia" w:cs="Georgia" w:eastAsia="Georgia" w:hAnsi="Georgia"/>
          <w:b/>
          <w:bCs/>
          <w:color w:val="3B2352"/>
          <w:sz w:val="32"/>
          <w:szCs w:val="32"/>
        </w:rPr>
        <w:t xml:space="preserve">11. Technical Recommendations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3B2352" w:val="clear"/>
            <w:tcMar>
              <w:top w:type="dxa" w:w="100"/>
              <w:left w:type="dxa" w:w="120"/>
              <w:bottom w:type="dxa" w:w="100"/>
              <w:right w:type="dxa" w:w="120"/>
            </w:tcMar>
          </w:tcPr>
          <w:p>
            <w:r>
              <w:rPr>
                <w:rFonts w:ascii="Calibri" w:cs="Calibri" w:eastAsia="Calibri" w:hAnsi="Calibri"/>
                <w:b/>
                <w:bCs/>
                <w:color w:val="FFFFFF"/>
                <w:sz w:val="20"/>
                <w:szCs w:val="20"/>
              </w:rPr>
              <w:t xml:space="preserve">Technology</w:t>
            </w:r>
          </w:p>
        </w:tc>
        <w:tc>
          <w:tcPr>
            <w:tcW w:type="dxa" w:w="6800"/>
            <w:shd w:fill="3B2352" w:val="clear"/>
            <w:tcMar>
              <w:top w:type="dxa" w:w="100"/>
              <w:left w:type="dxa" w:w="120"/>
              <w:bottom w:type="dxa" w:w="100"/>
              <w:right w:type="dxa" w:w="120"/>
            </w:tcMar>
          </w:tcPr>
          <w:p>
            <w:r>
              <w:rPr>
                <w:rFonts w:ascii="Calibri" w:cs="Calibri" w:eastAsia="Calibri" w:hAnsi="Calibri"/>
                <w:b/>
                <w:bCs/>
                <w:color w:val="FFFFFF"/>
                <w:sz w:val="20"/>
                <w:szCs w:val="20"/>
              </w:rPr>
              <w:t xml:space="preserve">Why</w:t>
            </w:r>
          </w:p>
        </w:tc>
      </w:tr>
      <w:tr>
        <w:tc>
          <w:tcPr>
            <w:tcW w:type="dxa" w:w="2400"/>
            <w:tcMar>
              <w:top w:type="dxa" w:w="100"/>
              <w:left w:type="dxa" w:w="120"/>
              <w:bottom w:type="dxa" w:w="100"/>
              <w:right w:type="dxa" w:w="120"/>
            </w:tcMar>
          </w:tcPr>
          <w:p>
            <w:r>
              <w:rPr>
                <w:rFonts w:ascii="Calibri" w:cs="Calibri" w:eastAsia="Calibri" w:hAnsi="Calibri"/>
                <w:b w:val="false"/>
                <w:bCs w:val="false"/>
                <w:color w:val="1C1C1C"/>
                <w:sz w:val="20"/>
                <w:szCs w:val="20"/>
              </w:rPr>
              <w:t xml:space="preserve">Next.js + React + TypeScript</w:t>
            </w:r>
          </w:p>
        </w:tc>
        <w:tc>
          <w:tcPr>
            <w:tcW w:type="dxa" w:w="6800"/>
            <w:tcMar>
              <w:top w:type="dxa" w:w="100"/>
              <w:left w:type="dxa" w:w="120"/>
              <w:bottom w:type="dxa" w:w="100"/>
              <w:right w:type="dxa" w:w="120"/>
            </w:tcMar>
          </w:tcPr>
          <w:p>
            <w:r>
              <w:rPr>
                <w:rFonts w:ascii="Calibri" w:cs="Calibri" w:eastAsia="Calibri" w:hAnsi="Calibri"/>
                <w:b w:val="false"/>
                <w:bCs w:val="false"/>
                <w:color w:val="1C1C1C"/>
                <w:sz w:val="20"/>
                <w:szCs w:val="20"/>
              </w:rPr>
              <w:t xml:space="preserve">Strong SEO via server-side rendering/static generation (critical for a mission-driven site that needs to be discoverable), type safety for a long-lived codebase the academy's small team can maintain</w:t>
            </w:r>
          </w:p>
        </w:tc>
      </w:tr>
      <w:tr>
        <w:tc>
          <w:tcPr>
            <w:tcW w:type="dxa" w:w="2400"/>
            <w:tcMar>
              <w:top w:type="dxa" w:w="100"/>
              <w:left w:type="dxa" w:w="120"/>
              <w:bottom w:type="dxa" w:w="100"/>
              <w:right w:type="dxa" w:w="120"/>
            </w:tcMar>
          </w:tcPr>
          <w:p>
            <w:r>
              <w:rPr>
                <w:rFonts w:ascii="Calibri" w:cs="Calibri" w:eastAsia="Calibri" w:hAnsi="Calibri"/>
                <w:b w:val="false"/>
                <w:bCs w:val="false"/>
                <w:color w:val="1C1C1C"/>
                <w:sz w:val="20"/>
                <w:szCs w:val="20"/>
              </w:rPr>
              <w:t xml:space="preserve">Tailwind CSS</w:t>
            </w:r>
          </w:p>
        </w:tc>
        <w:tc>
          <w:tcPr>
            <w:tcW w:type="dxa" w:w="6800"/>
            <w:tcMar>
              <w:top w:type="dxa" w:w="100"/>
              <w:left w:type="dxa" w:w="120"/>
              <w:bottom w:type="dxa" w:w="100"/>
              <w:right w:type="dxa" w:w="120"/>
            </w:tcMar>
          </w:tcPr>
          <w:p>
            <w:r>
              <w:rPr>
                <w:rFonts w:ascii="Calibri" w:cs="Calibri" w:eastAsia="Calibri" w:hAnsi="Calibri"/>
                <w:b w:val="false"/>
                <w:bCs w:val="false"/>
                <w:color w:val="1C1C1C"/>
                <w:sz w:val="20"/>
                <w:szCs w:val="20"/>
              </w:rPr>
              <w:t xml:space="preserve">Fast, consistent implementation of a constrained design system (important since brand guidelines are still being finalised)</w:t>
            </w:r>
          </w:p>
        </w:tc>
      </w:tr>
      <w:tr>
        <w:tc>
          <w:tcPr>
            <w:tcW w:type="dxa" w:w="2400"/>
            <w:tcMar>
              <w:top w:type="dxa" w:w="100"/>
              <w:left w:type="dxa" w:w="120"/>
              <w:bottom w:type="dxa" w:w="100"/>
              <w:right w:type="dxa" w:w="120"/>
            </w:tcMar>
          </w:tcPr>
          <w:p>
            <w:r>
              <w:rPr>
                <w:rFonts w:ascii="Calibri" w:cs="Calibri" w:eastAsia="Calibri" w:hAnsi="Calibri"/>
                <w:b w:val="false"/>
                <w:bCs w:val="false"/>
                <w:color w:val="1C1C1C"/>
                <w:sz w:val="20"/>
                <w:szCs w:val="20"/>
              </w:rPr>
              <w:t xml:space="preserve">GSAP (with ScrollTrigger)</w:t>
            </w:r>
          </w:p>
        </w:tc>
        <w:tc>
          <w:tcPr>
            <w:tcW w:type="dxa" w:w="6800"/>
            <w:tcMar>
              <w:top w:type="dxa" w:w="100"/>
              <w:left w:type="dxa" w:w="120"/>
              <w:bottom w:type="dxa" w:w="100"/>
              <w:right w:type="dxa" w:w="120"/>
            </w:tcMar>
          </w:tcPr>
          <w:p>
            <w:r>
              <w:rPr>
                <w:rFonts w:ascii="Calibri" w:cs="Calibri" w:eastAsia="Calibri" w:hAnsi="Calibri"/>
                <w:b w:val="false"/>
                <w:bCs w:val="false"/>
                <w:color w:val="1C1C1C"/>
                <w:sz w:val="20"/>
                <w:szCs w:val="20"/>
              </w:rPr>
              <w:t xml:space="preserve">Industry-standard for the precise, chaptered scroll storytelling recommended in Section 5</w:t>
            </w:r>
          </w:p>
        </w:tc>
      </w:tr>
      <w:tr>
        <w:tc>
          <w:tcPr>
            <w:tcW w:type="dxa" w:w="2400"/>
            <w:tcMar>
              <w:top w:type="dxa" w:w="100"/>
              <w:left w:type="dxa" w:w="120"/>
              <w:bottom w:type="dxa" w:w="100"/>
              <w:right w:type="dxa" w:w="120"/>
            </w:tcMar>
          </w:tcPr>
          <w:p>
            <w:r>
              <w:rPr>
                <w:rFonts w:ascii="Calibri" w:cs="Calibri" w:eastAsia="Calibri" w:hAnsi="Calibri"/>
                <w:b w:val="false"/>
                <w:bCs w:val="false"/>
                <w:color w:val="1C1C1C"/>
                <w:sz w:val="20"/>
                <w:szCs w:val="20"/>
              </w:rPr>
              <w:t xml:space="preserve">Lenis</w:t>
            </w:r>
          </w:p>
        </w:tc>
        <w:tc>
          <w:tcPr>
            <w:tcW w:type="dxa" w:w="6800"/>
            <w:tcMar>
              <w:top w:type="dxa" w:w="100"/>
              <w:left w:type="dxa" w:w="120"/>
              <w:bottom w:type="dxa" w:w="100"/>
              <w:right w:type="dxa" w:w="120"/>
            </w:tcMar>
          </w:tcPr>
          <w:p>
            <w:r>
              <w:rPr>
                <w:rFonts w:ascii="Calibri" w:cs="Calibri" w:eastAsia="Calibri" w:hAnsi="Calibri"/>
                <w:b w:val="false"/>
                <w:bCs w:val="false"/>
                <w:color w:val="1C1C1C"/>
                <w:sz w:val="20"/>
                <w:szCs w:val="20"/>
              </w:rPr>
              <w:t xml:space="preserve">Smooth-scroll foundation that pairs cleanly with GSAP for the cinematic pacing this project needs</w:t>
            </w:r>
          </w:p>
        </w:tc>
      </w:tr>
      <w:tr>
        <w:tc>
          <w:tcPr>
            <w:tcW w:type="dxa" w:w="2400"/>
            <w:tcMar>
              <w:top w:type="dxa" w:w="100"/>
              <w:left w:type="dxa" w:w="120"/>
              <w:bottom w:type="dxa" w:w="100"/>
              <w:right w:type="dxa" w:w="120"/>
            </w:tcMar>
          </w:tcPr>
          <w:p>
            <w:r>
              <w:rPr>
                <w:rFonts w:ascii="Calibri" w:cs="Calibri" w:eastAsia="Calibri" w:hAnsi="Calibri"/>
                <w:b w:val="false"/>
                <w:bCs w:val="false"/>
                <w:color w:val="1C1C1C"/>
                <w:sz w:val="20"/>
                <w:szCs w:val="20"/>
              </w:rPr>
              <w:t xml:space="preserve">Three.js / React Three Fiber</w:t>
            </w:r>
          </w:p>
        </w:tc>
        <w:tc>
          <w:tcPr>
            <w:tcW w:type="dxa" w:w="6800"/>
            <w:tcMar>
              <w:top w:type="dxa" w:w="100"/>
              <w:left w:type="dxa" w:w="120"/>
              <w:bottom w:type="dxa" w:w="100"/>
              <w:right w:type="dxa" w:w="120"/>
            </w:tcMar>
          </w:tcPr>
          <w:p>
            <w:r>
              <w:rPr>
                <w:rFonts w:ascii="Calibri" w:cs="Calibri" w:eastAsia="Calibri" w:hAnsi="Calibri"/>
                <w:b w:val="false"/>
                <w:bCs w:val="false"/>
                <w:color w:val="1C1C1C"/>
                <w:sz w:val="20"/>
                <w:szCs w:val="20"/>
              </w:rPr>
              <w:t xml:space="preserve">Used sparingly for the single signature 3D moment recommended in Section 10 — not the whole experience</w:t>
            </w:r>
          </w:p>
        </w:tc>
      </w:tr>
      <w:tr>
        <w:tc>
          <w:tcPr>
            <w:tcW w:type="dxa" w:w="2400"/>
            <w:tcMar>
              <w:top w:type="dxa" w:w="100"/>
              <w:left w:type="dxa" w:w="120"/>
              <w:bottom w:type="dxa" w:w="100"/>
              <w:right w:type="dxa" w:w="120"/>
            </w:tcMar>
          </w:tcPr>
          <w:p>
            <w:r>
              <w:rPr>
                <w:rFonts w:ascii="Calibri" w:cs="Calibri" w:eastAsia="Calibri" w:hAnsi="Calibri"/>
                <w:b w:val="false"/>
                <w:bCs w:val="false"/>
                <w:color w:val="1C1C1C"/>
                <w:sz w:val="20"/>
                <w:szCs w:val="20"/>
              </w:rPr>
              <w:t xml:space="preserve">Framer Motion</w:t>
            </w:r>
          </w:p>
        </w:tc>
        <w:tc>
          <w:tcPr>
            <w:tcW w:type="dxa" w:w="6800"/>
            <w:tcMar>
              <w:top w:type="dxa" w:w="100"/>
              <w:left w:type="dxa" w:w="120"/>
              <w:bottom w:type="dxa" w:w="100"/>
              <w:right w:type="dxa" w:w="120"/>
            </w:tcMar>
          </w:tcPr>
          <w:p>
            <w:r>
              <w:rPr>
                <w:rFonts w:ascii="Calibri" w:cs="Calibri" w:eastAsia="Calibri" w:hAnsi="Calibri"/>
                <w:b w:val="false"/>
                <w:bCs w:val="false"/>
                <w:color w:val="1C1C1C"/>
                <w:sz w:val="20"/>
                <w:szCs w:val="20"/>
              </w:rPr>
              <w:t xml:space="preserve">Complementary to GSAP for simpler component-level UI transitions (forms, navigation, cards)</w:t>
            </w:r>
          </w:p>
        </w:tc>
      </w:tr>
      <w:tr>
        <w:tc>
          <w:tcPr>
            <w:tcW w:type="dxa" w:w="2400"/>
            <w:tcMar>
              <w:top w:type="dxa" w:w="100"/>
              <w:left w:type="dxa" w:w="120"/>
              <w:bottom w:type="dxa" w:w="100"/>
              <w:right w:type="dxa" w:w="120"/>
            </w:tcMar>
          </w:tcPr>
          <w:p>
            <w:r>
              <w:rPr>
                <w:rFonts w:ascii="Calibri" w:cs="Calibri" w:eastAsia="Calibri" w:hAnsi="Calibri"/>
                <w:b w:val="false"/>
                <w:bCs w:val="false"/>
                <w:color w:val="1C1C1C"/>
                <w:sz w:val="20"/>
                <w:szCs w:val="20"/>
              </w:rPr>
              <w:t xml:space="preserve">React Icons</w:t>
            </w:r>
          </w:p>
        </w:tc>
        <w:tc>
          <w:tcPr>
            <w:tcW w:type="dxa" w:w="6800"/>
            <w:tcMar>
              <w:top w:type="dxa" w:w="100"/>
              <w:left w:type="dxa" w:w="120"/>
              <w:bottom w:type="dxa" w:w="100"/>
              <w:right w:type="dxa" w:w="120"/>
            </w:tcMar>
          </w:tcPr>
          <w:p>
            <w:r>
              <w:rPr>
                <w:rFonts w:ascii="Calibri" w:cs="Calibri" w:eastAsia="Calibri" w:hAnsi="Calibri"/>
                <w:b w:val="false"/>
                <w:bCs w:val="false"/>
                <w:color w:val="1C1C1C"/>
                <w:sz w:val="20"/>
                <w:szCs w:val="20"/>
              </w:rPr>
              <w:t xml:space="preserve">Lightweight, consistent iconography system for UI elements</w:t>
            </w:r>
          </w:p>
        </w:tc>
      </w:tr>
    </w:tbl>
    <w:p>
      <w:pPr>
        <w:spacing w:after="160" w:line="300"/>
      </w:pPr>
      <w:r>
        <w:rPr>
          <w:rFonts w:ascii="Calibri" w:cs="Calibri" w:eastAsia="Calibri" w:hAnsi="Calibri"/>
          <w:b w:val="false"/>
          <w:bCs w:val="false"/>
          <w:i w:val="false"/>
          <w:iCs w:val="false"/>
          <w:color w:val="1C1C1C"/>
          <w:sz w:val="22"/>
          <w:szCs w:val="22"/>
        </w:rPr>
        <w:t xml:space="preserve">Performance techniques to prioritise: image optimisation and responsive serving (critical given the target audience includes users on mobile data in Zimbabwe), lazy-loading below-the-fold media, reduced-motion fallbacks for all scroll/3D sequences, and a lightweight 'lite mode' path for low-bandwidth visitors.</w:t>
      </w:r>
    </w:p>
    <w:p>
      <w:pPr>
        <w:pStyle w:val="Heading1"/>
        <w:pBdr>
          <w:bottom w:val="single" w:color="C9A227" w:sz="8" w:space="4"/>
        </w:pBdr>
        <w:spacing w:after="240" w:before="480"/>
      </w:pPr>
      <w:r>
        <w:rPr>
          <w:rFonts w:ascii="Georgia" w:cs="Georgia" w:eastAsia="Georgia" w:hAnsi="Georgia"/>
          <w:b/>
          <w:bCs/>
          <w:color w:val="3B2352"/>
          <w:sz w:val="32"/>
          <w:szCs w:val="32"/>
        </w:rPr>
        <w:t xml:space="preserve">12. SEO Recommendations</w:t>
      </w:r>
    </w:p>
    <w:p>
      <w:pPr>
        <w:pStyle w:val="ListParagraph"/>
        <w:numPr>
          <w:ilvl w:val="0"/>
          <w:numId w:val="2"/>
        </w:numPr>
        <w:spacing w:after="100"/>
      </w:pPr>
      <w:r>
        <w:rPr>
          <w:rFonts w:ascii="Calibri" w:cs="Calibri" w:eastAsia="Calibri" w:hAnsi="Calibri"/>
          <w:color w:val="1C1C1C"/>
          <w:sz w:val="22"/>
          <w:szCs w:val="22"/>
        </w:rPr>
        <w:t xml:space="preserve">Own the brand search terms currently pointing nowhere useful: 'Victoria Falls Boxing Academy', 'Tobias Mupfuti', and 'Rise film Victoria Falls Boxing Academy' should all lead to the new site, not third-party coverage or the unrelated squatted domain.</w:t>
      </w:r>
    </w:p>
    <w:p>
      <w:pPr>
        <w:pStyle w:val="ListParagraph"/>
        <w:numPr>
          <w:ilvl w:val="0"/>
          <w:numId w:val="2"/>
        </w:numPr>
        <w:spacing w:after="100"/>
      </w:pPr>
      <w:r>
        <w:rPr>
          <w:rFonts w:ascii="Calibri" w:cs="Calibri" w:eastAsia="Calibri" w:hAnsi="Calibri"/>
          <w:color w:val="1C1C1C"/>
          <w:sz w:val="22"/>
          <w:szCs w:val="22"/>
        </w:rPr>
        <w:t xml:space="preserve">Secure a clean, owned domain as a first priority (see Risks, Section 13) and ensure all metadata, Open Graph tags and structured data (Organization / NGO schema) are in place for rich search and social-share results.</w:t>
      </w:r>
    </w:p>
    <w:p>
      <w:pPr>
        <w:pStyle w:val="ListParagraph"/>
        <w:numPr>
          <w:ilvl w:val="0"/>
          <w:numId w:val="2"/>
        </w:numPr>
        <w:spacing w:after="100"/>
      </w:pPr>
      <w:r>
        <w:rPr>
          <w:rFonts w:ascii="Calibri" w:cs="Calibri" w:eastAsia="Calibri" w:hAnsi="Calibri"/>
          <w:color w:val="1C1C1C"/>
          <w:sz w:val="22"/>
          <w:szCs w:val="22"/>
        </w:rPr>
        <w:t xml:space="preserve">Build dedicated, crawlable pages for high-interest topics separately — the Rise connection, the coach's story, tournament results, and how to donate/volunteer — rather than burying them in a single long homepage, so each can rank independently.</w:t>
      </w:r>
    </w:p>
    <w:p>
      <w:pPr>
        <w:pStyle w:val="ListParagraph"/>
        <w:numPr>
          <w:ilvl w:val="0"/>
          <w:numId w:val="2"/>
        </w:numPr>
        <w:spacing w:after="100"/>
      </w:pPr>
      <w:r>
        <w:rPr>
          <w:rFonts w:ascii="Calibri" w:cs="Calibri" w:eastAsia="Calibri" w:hAnsi="Calibri"/>
          <w:color w:val="1C1C1C"/>
          <w:sz w:val="22"/>
          <w:szCs w:val="22"/>
        </w:rPr>
        <w:t xml:space="preserve">Publish an accessible text transcript/summary of any video content for both SEO and accessibility.</w:t>
      </w:r>
    </w:p>
    <w:p>
      <w:pPr>
        <w:pStyle w:val="Heading1"/>
        <w:pBdr>
          <w:bottom w:val="single" w:color="C9A227" w:sz="8" w:space="4"/>
        </w:pBdr>
        <w:spacing w:after="240" w:before="480"/>
      </w:pPr>
      <w:r>
        <w:rPr>
          <w:rFonts w:ascii="Georgia" w:cs="Georgia" w:eastAsia="Georgia" w:hAnsi="Georgia"/>
          <w:b/>
          <w:bCs/>
          <w:color w:val="3B2352"/>
          <w:sz w:val="32"/>
          <w:szCs w:val="32"/>
        </w:rPr>
        <w:t xml:space="preserve">13. Risks &amp; Opportunities</w:t>
      </w:r>
    </w:p>
    <w:p>
      <w:pPr>
        <w:pStyle w:val="Heading2"/>
        <w:spacing w:after="160" w:before="320"/>
      </w:pPr>
      <w:r>
        <w:rPr>
          <w:rFonts w:ascii="Georgia" w:cs="Georgia" w:eastAsia="Georgia" w:hAnsi="Georgia"/>
          <w:b/>
          <w:bCs/>
          <w:color w:val="1C1C1C"/>
          <w:sz w:val="26"/>
          <w:szCs w:val="26"/>
        </w:rPr>
        <w:t xml:space="preserve">13.1 Risks</w:t>
      </w:r>
    </w:p>
    <w:p>
      <w:pPr>
        <w:pStyle w:val="ListParagraph"/>
        <w:numPr>
          <w:ilvl w:val="0"/>
          <w:numId w:val="2"/>
        </w:numPr>
        <w:spacing w:after="100"/>
      </w:pPr>
      <w:r>
        <w:rPr>
          <w:rFonts w:ascii="Calibri" w:cs="Calibri" w:eastAsia="Calibri" w:hAnsi="Calibri"/>
          <w:color w:val="1C1C1C"/>
          <w:sz w:val="22"/>
          <w:szCs w:val="22"/>
        </w:rPr>
        <w:t xml:space="preserve">Domain risk: the natural domain (victoriafallsboxingacademy.com) does not currently belong to the academy and resolves to unrelated third-party content — this should be resolved (via an alternative domain or acquisition) before launch to avoid brand confusion and search cannibalisation.</w:t>
      </w:r>
    </w:p>
    <w:p>
      <w:pPr>
        <w:pStyle w:val="ListParagraph"/>
        <w:numPr>
          <w:ilvl w:val="0"/>
          <w:numId w:val="2"/>
        </w:numPr>
        <w:spacing w:after="100"/>
      </w:pPr>
      <w:r>
        <w:rPr>
          <w:rFonts w:ascii="Calibri" w:cs="Calibri" w:eastAsia="Calibri" w:hAnsi="Calibri"/>
          <w:color w:val="1C1C1C"/>
          <w:sz w:val="22"/>
          <w:szCs w:val="22"/>
        </w:rPr>
        <w:t xml:space="preserve">Rights risk: none of the Rise footage, stills, or press photography can be assumed clear for reuse; rights must be confirmed with the production team and news outlets individually.</w:t>
      </w:r>
    </w:p>
    <w:p>
      <w:pPr>
        <w:pStyle w:val="ListParagraph"/>
        <w:numPr>
          <w:ilvl w:val="0"/>
          <w:numId w:val="2"/>
        </w:numPr>
        <w:spacing w:after="100"/>
      </w:pPr>
      <w:r>
        <w:rPr>
          <w:rFonts w:ascii="Calibri" w:cs="Calibri" w:eastAsia="Calibri" w:hAnsi="Calibri"/>
          <w:color w:val="1C1C1C"/>
          <w:sz w:val="22"/>
          <w:szCs w:val="22"/>
        </w:rPr>
        <w:t xml:space="preserve">Tone risk: given the sensitivity of depicting orphaned and at-risk children, all storytelling must avoid exploitative 'poverty imagery' and should follow child-safeguarding best practice for imagery and biographical detail of minors (see Section 14).</w:t>
      </w:r>
    </w:p>
    <w:p>
      <w:pPr>
        <w:pStyle w:val="ListParagraph"/>
        <w:numPr>
          <w:ilvl w:val="0"/>
          <w:numId w:val="2"/>
        </w:numPr>
        <w:spacing w:after="100"/>
      </w:pPr>
      <w:r>
        <w:rPr>
          <w:rFonts w:ascii="Calibri" w:cs="Calibri" w:eastAsia="Calibri" w:hAnsi="Calibri"/>
          <w:color w:val="1C1C1C"/>
          <w:sz w:val="22"/>
          <w:szCs w:val="22"/>
        </w:rPr>
        <w:t xml:space="preserve">Maintenance risk: a highly cinematic, animation-heavy site can become difficult for a small non-technical team to update; the CMS/content structure must be simple enough for the academy's own team to manage independently.</w:t>
      </w:r>
    </w:p>
    <w:p>
      <w:pPr>
        <w:pStyle w:val="Heading2"/>
        <w:spacing w:after="160" w:before="320"/>
      </w:pPr>
      <w:r>
        <w:rPr>
          <w:rFonts w:ascii="Georgia" w:cs="Georgia" w:eastAsia="Georgia" w:hAnsi="Georgia"/>
          <w:b/>
          <w:bCs/>
          <w:color w:val="1C1C1C"/>
          <w:sz w:val="26"/>
          <w:szCs w:val="26"/>
        </w:rPr>
        <w:t xml:space="preserve">13.2 Opportunities</w:t>
      </w:r>
    </w:p>
    <w:p>
      <w:pPr>
        <w:pStyle w:val="ListParagraph"/>
        <w:numPr>
          <w:ilvl w:val="0"/>
          <w:numId w:val="2"/>
        </w:numPr>
        <w:spacing w:after="100"/>
      </w:pPr>
      <w:r>
        <w:rPr>
          <w:rFonts w:ascii="Calibri" w:cs="Calibri" w:eastAsia="Calibri" w:hAnsi="Calibri"/>
          <w:color w:val="1C1C1C"/>
          <w:sz w:val="22"/>
          <w:szCs w:val="22"/>
        </w:rPr>
        <w:t xml:space="preserve">A rare, ready-made global media moment: Tribeca selection and Academy Awards eligibility for Rise give VFBA a level of earned international attention most grassroots academies never receive.</w:t>
      </w:r>
    </w:p>
    <w:p>
      <w:pPr>
        <w:pStyle w:val="ListParagraph"/>
        <w:numPr>
          <w:ilvl w:val="0"/>
          <w:numId w:val="2"/>
        </w:numPr>
        <w:spacing w:after="100"/>
      </w:pPr>
      <w:r>
        <w:rPr>
          <w:rFonts w:ascii="Calibri" w:cs="Calibri" w:eastAsia="Calibri" w:hAnsi="Calibri"/>
          <w:color w:val="1C1C1C"/>
          <w:sz w:val="22"/>
          <w:szCs w:val="22"/>
        </w:rPr>
        <w:t xml:space="preserve">A genuinely cinematic, verified visual language already exists (via the film) to draw from, rather than needing to invent one from nothing.</w:t>
      </w:r>
    </w:p>
    <w:p>
      <w:pPr>
        <w:pStyle w:val="ListParagraph"/>
        <w:numPr>
          <w:ilvl w:val="0"/>
          <w:numId w:val="2"/>
        </w:numPr>
        <w:spacing w:after="100"/>
      </w:pPr>
      <w:r>
        <w:rPr>
          <w:rFonts w:ascii="Calibri" w:cs="Calibri" w:eastAsia="Calibri" w:hAnsi="Calibri"/>
          <w:color w:val="1C1C1C"/>
          <w:sz w:val="22"/>
          <w:szCs w:val="22"/>
        </w:rPr>
        <w:t xml:space="preserve">Existing international partners (MATTER, It Gym) provide both credibility and a plausible path to co-promotion once the site exists.</w:t>
      </w:r>
    </w:p>
    <w:p>
      <w:pPr>
        <w:pStyle w:val="ListParagraph"/>
        <w:numPr>
          <w:ilvl w:val="0"/>
          <w:numId w:val="2"/>
        </w:numPr>
        <w:spacing w:after="100"/>
      </w:pPr>
      <w:r>
        <w:rPr>
          <w:rFonts w:ascii="Calibri" w:cs="Calibri" w:eastAsia="Calibri" w:hAnsi="Calibri"/>
          <w:color w:val="1C1C1C"/>
          <w:sz w:val="22"/>
          <w:szCs w:val="22"/>
        </w:rPr>
        <w:t xml:space="preserve">Sports tourism positioning: Mupfuti has publicly stated an ambition to put Victoria Falls on the international boxing map — the website can directly support that goal for a city whose economy already depends on international visitors.</w:t>
      </w:r>
    </w:p>
    <w:p>
      <w:pPr>
        <w:pStyle w:val="Heading1"/>
        <w:pBdr>
          <w:bottom w:val="single" w:color="C9A227" w:sz="8" w:space="4"/>
        </w:pBdr>
        <w:spacing w:after="240" w:before="480"/>
      </w:pPr>
      <w:r>
        <w:rPr>
          <w:rFonts w:ascii="Georgia" w:cs="Georgia" w:eastAsia="Georgia" w:hAnsi="Georgia"/>
          <w:b/>
          <w:bCs/>
          <w:color w:val="3B2352"/>
          <w:sz w:val="32"/>
          <w:szCs w:val="32"/>
        </w:rPr>
        <w:t xml:space="preserve">14. Missing Content — Requests for the Academy</w:t>
      </w:r>
    </w:p>
    <w:p>
      <w:pPr>
        <w:spacing w:after="160" w:line="300"/>
      </w:pPr>
      <w:r>
        <w:rPr>
          <w:rFonts w:ascii="Calibri" w:cs="Calibri" w:eastAsia="Calibri" w:hAnsi="Calibri"/>
          <w:b w:val="false"/>
          <w:bCs w:val="false"/>
          <w:i w:val="false"/>
          <w:iCs w:val="false"/>
          <w:color w:val="1C1C1C"/>
          <w:sz w:val="22"/>
          <w:szCs w:val="22"/>
        </w:rPr>
        <w:t xml:space="preserve">The following cannot be sourced publicly and should be requested directly from Coach Tobias and the academy before or during Phase 1:</w:t>
      </w:r>
    </w:p>
    <w:p>
      <w:pPr>
        <w:pStyle w:val="ListParagraph"/>
        <w:numPr>
          <w:ilvl w:val="0"/>
          <w:numId w:val="2"/>
        </w:numPr>
        <w:spacing w:after="100"/>
      </w:pPr>
      <w:r>
        <w:rPr>
          <w:rFonts w:ascii="Calibri" w:cs="Calibri" w:eastAsia="Calibri" w:hAnsi="Calibri"/>
          <w:color w:val="1C1C1C"/>
          <w:sz w:val="22"/>
          <w:szCs w:val="22"/>
        </w:rPr>
        <w:t xml:space="preserve">Official logo files (vector/AI or high-resolution PNG) and any existing brand guideline, if one exists.</w:t>
      </w:r>
    </w:p>
    <w:p>
      <w:pPr>
        <w:pStyle w:val="ListParagraph"/>
        <w:numPr>
          <w:ilvl w:val="0"/>
          <w:numId w:val="2"/>
        </w:numPr>
        <w:spacing w:after="100"/>
      </w:pPr>
      <w:r>
        <w:rPr>
          <w:rFonts w:ascii="Calibri" w:cs="Calibri" w:eastAsia="Calibri" w:hAnsi="Calibri"/>
          <w:color w:val="1C1C1C"/>
          <w:sz w:val="22"/>
          <w:szCs w:val="22"/>
        </w:rPr>
        <w:t xml:space="preserve">Confirmed brand colours, if the academy already considers specific colours 'theirs' (e.g., from kit, signage, or sponsor branding).</w:t>
      </w:r>
    </w:p>
    <w:p>
      <w:pPr>
        <w:pStyle w:val="ListParagraph"/>
        <w:numPr>
          <w:ilvl w:val="0"/>
          <w:numId w:val="2"/>
        </w:numPr>
        <w:spacing w:after="100"/>
      </w:pPr>
      <w:r>
        <w:rPr>
          <w:rFonts w:ascii="Calibri" w:cs="Calibri" w:eastAsia="Calibri" w:hAnsi="Calibri"/>
          <w:color w:val="1C1C1C"/>
          <w:sz w:val="22"/>
          <w:szCs w:val="22"/>
        </w:rPr>
        <w:t xml:space="preserve">High-resolution original photography and video of the gym, training sessions, and (with appropriate consent and safeguarding review) the children's home.</w:t>
      </w:r>
    </w:p>
    <w:p>
      <w:pPr>
        <w:pStyle w:val="ListParagraph"/>
        <w:numPr>
          <w:ilvl w:val="0"/>
          <w:numId w:val="2"/>
        </w:numPr>
        <w:spacing w:after="100"/>
      </w:pPr>
      <w:r>
        <w:rPr>
          <w:rFonts w:ascii="Calibri" w:cs="Calibri" w:eastAsia="Calibri" w:hAnsi="Calibri"/>
          <w:color w:val="1C1C1C"/>
          <w:sz w:val="22"/>
          <w:szCs w:val="22"/>
        </w:rPr>
        <w:t xml:space="preserve">Written or verbal permission to use Rise stills, trailer footage, and press quotes, ideally confirmed directly with the Rise production team (Jessica J. Rowlands / Joe Njagu) as well as the academy.</w:t>
      </w:r>
    </w:p>
    <w:p>
      <w:pPr>
        <w:pStyle w:val="ListParagraph"/>
        <w:numPr>
          <w:ilvl w:val="0"/>
          <w:numId w:val="2"/>
        </w:numPr>
        <w:spacing w:after="100"/>
      </w:pPr>
      <w:r>
        <w:rPr>
          <w:rFonts w:ascii="Calibri" w:cs="Calibri" w:eastAsia="Calibri" w:hAnsi="Calibri"/>
          <w:color w:val="1C1C1C"/>
          <w:sz w:val="22"/>
          <w:szCs w:val="22"/>
        </w:rPr>
        <w:t xml:space="preserve">Current, first-person mission and vision statements in the academy's own words, to replace/validate the press-quote synthesis used in this document.</w:t>
      </w:r>
    </w:p>
    <w:p>
      <w:pPr>
        <w:pStyle w:val="ListParagraph"/>
        <w:numPr>
          <w:ilvl w:val="0"/>
          <w:numId w:val="2"/>
        </w:numPr>
        <w:spacing w:after="100"/>
      </w:pPr>
      <w:r>
        <w:rPr>
          <w:rFonts w:ascii="Calibri" w:cs="Calibri" w:eastAsia="Calibri" w:hAnsi="Calibri"/>
          <w:color w:val="1C1C1C"/>
          <w:sz w:val="22"/>
          <w:szCs w:val="22"/>
        </w:rPr>
        <w:t xml:space="preserve">Practical operating details: current class schedule, any membership fees, coaching staff beyond Tobias, current boxer roster and achievements, and how the academy prefers to be contacted (phone, WhatsApp, email).</w:t>
      </w:r>
    </w:p>
    <w:p>
      <w:pPr>
        <w:pStyle w:val="ListParagraph"/>
        <w:numPr>
          <w:ilvl w:val="0"/>
          <w:numId w:val="2"/>
        </w:numPr>
        <w:spacing w:after="100"/>
      </w:pPr>
      <w:r>
        <w:rPr>
          <w:rFonts w:ascii="Calibri" w:cs="Calibri" w:eastAsia="Calibri" w:hAnsi="Calibri"/>
          <w:color w:val="1C1C1C"/>
          <w:sz w:val="22"/>
          <w:szCs w:val="22"/>
        </w:rPr>
        <w:t xml:space="preserve">Donation/partnership mechanics: how funds are currently received (e.g., via MATTER or It Gym), and what the academy's actual current needs are, so the site's calls-to-action are accurate rather than assumed.</w:t>
      </w:r>
    </w:p>
    <w:p>
      <w:pPr>
        <w:pStyle w:val="ListParagraph"/>
        <w:numPr>
          <w:ilvl w:val="0"/>
          <w:numId w:val="2"/>
        </w:numPr>
        <w:spacing w:after="100"/>
      </w:pPr>
      <w:r>
        <w:rPr>
          <w:rFonts w:ascii="Calibri" w:cs="Calibri" w:eastAsia="Calibri" w:hAnsi="Calibri"/>
          <w:color w:val="1C1C1C"/>
          <w:sz w:val="22"/>
          <w:szCs w:val="22"/>
        </w:rPr>
        <w:t xml:space="preserve">Consent and safeguarding guidance from the academy for how children are represented (names, faces, personal stories) on a public, internationally-visible website.</w:t>
      </w:r>
    </w:p>
    <w:p>
      <w:pPr>
        <w:pStyle w:val="ListParagraph"/>
        <w:numPr>
          <w:ilvl w:val="0"/>
          <w:numId w:val="2"/>
        </w:numPr>
        <w:spacing w:after="100"/>
      </w:pPr>
      <w:r>
        <w:rPr>
          <w:rFonts w:ascii="Calibri" w:cs="Calibri" w:eastAsia="Calibri" w:hAnsi="Calibri"/>
          <w:color w:val="1C1C1C"/>
          <w:sz w:val="22"/>
          <w:szCs w:val="22"/>
        </w:rPr>
        <w:t xml:space="preserve">Confirmation of whether victoriafallsboxingacademy.com can be reclaimed, or whether an alternative domain should be secured.</w:t>
      </w:r>
    </w:p>
    <w:p>
      <w:pPr>
        <w:pStyle w:val="Heading1"/>
        <w:pBdr>
          <w:bottom w:val="single" w:color="C9A227" w:sz="8" w:space="4"/>
        </w:pBdr>
        <w:spacing w:after="240" w:before="480"/>
      </w:pPr>
      <w:r>
        <w:rPr>
          <w:rFonts w:ascii="Georgia" w:cs="Georgia" w:eastAsia="Georgia" w:hAnsi="Georgia"/>
          <w:b/>
          <w:bCs/>
          <w:color w:val="3B2352"/>
          <w:sz w:val="32"/>
          <w:szCs w:val="32"/>
        </w:rPr>
        <w:t xml:space="preserve">15. Final Creative Direction</w:t>
      </w:r>
    </w:p>
    <w:p>
      <w:pPr>
        <w:spacing w:after="160" w:line="300"/>
      </w:pPr>
      <w:r>
        <w:rPr>
          <w:rFonts w:ascii="Calibri" w:cs="Calibri" w:eastAsia="Calibri" w:hAnsi="Calibri"/>
          <w:b w:val="false"/>
          <w:bCs w:val="false"/>
          <w:i w:val="false"/>
          <w:iCs w:val="false"/>
          <w:color w:val="1C1C1C"/>
          <w:sz w:val="22"/>
          <w:szCs w:val="22"/>
        </w:rPr>
        <w:t xml:space="preserve">The website should feel like the opening reel of Rise continuing forward into real life — the same warm, sun-drenched, rust-and-green palette; the same patient, intimate camera language; the same refusal to sentimentalise hardship. A visitor should arrive the way the film's own audience did: quietly disarmed, then drawn in, then moved to act.</w:t>
      </w:r>
    </w:p>
    <w:p>
      <w:pPr>
        <w:pStyle w:val="Heading2"/>
        <w:spacing w:after="160" w:before="320"/>
      </w:pPr>
      <w:r>
        <w:rPr>
          <w:rFonts w:ascii="Georgia" w:cs="Georgia" w:eastAsia="Georgia" w:hAnsi="Georgia"/>
          <w:b/>
          <w:bCs/>
          <w:color w:val="1C1C1C"/>
          <w:sz w:val="26"/>
          <w:szCs w:val="26"/>
        </w:rPr>
        <w:t xml:space="preserve">Emotional Journey</w:t>
      </w:r>
    </w:p>
    <w:p>
      <w:pPr>
        <w:spacing w:after="160" w:line="300"/>
      </w:pPr>
      <w:r>
        <w:rPr>
          <w:rFonts w:ascii="Calibri" w:cs="Calibri" w:eastAsia="Calibri" w:hAnsi="Calibri"/>
          <w:b w:val="false"/>
          <w:bCs w:val="false"/>
          <w:i w:val="false"/>
          <w:iCs w:val="false"/>
          <w:color w:val="1C1C1C"/>
          <w:sz w:val="22"/>
          <w:szCs w:val="22"/>
        </w:rPr>
        <w:t xml:space="preserve">Arrival should feel grounded and real, not staged — dust, light, the sound of a gym. As the visitor moves through the story (origin → struggle → the gym today → the children's home → the film → how to help), the tone should gradually warm from guarded to open, mirroring the coach's own arc in Rise. The journey should end not on a plea, but on quiet forward motion — an invitation to be part of what happens next, consistent with the film's closing note of a boy and a man finally choosing to stay.</w:t>
      </w:r>
    </w:p>
    <w:p>
      <w:pPr>
        <w:pStyle w:val="Heading2"/>
        <w:spacing w:after="160" w:before="320"/>
      </w:pPr>
      <w:r>
        <w:rPr>
          <w:rFonts w:ascii="Georgia" w:cs="Georgia" w:eastAsia="Georgia" w:hAnsi="Georgia"/>
          <w:b/>
          <w:bCs/>
          <w:color w:val="1C1C1C"/>
          <w:sz w:val="26"/>
          <w:szCs w:val="26"/>
        </w:rPr>
        <w:t xml:space="preserve">Storytelling Approach</w:t>
      </w:r>
    </w:p>
    <w:p>
      <w:pPr>
        <w:spacing w:after="160" w:line="300"/>
      </w:pPr>
      <w:r>
        <w:rPr>
          <w:rFonts w:ascii="Calibri" w:cs="Calibri" w:eastAsia="Calibri" w:hAnsi="Calibri"/>
          <w:b w:val="false"/>
          <w:bCs w:val="false"/>
          <w:i w:val="false"/>
          <w:iCs w:val="false"/>
          <w:color w:val="1C1C1C"/>
          <w:sz w:val="22"/>
          <w:szCs w:val="22"/>
        </w:rPr>
        <w:t xml:space="preserve">Documentary-chaptered, not brochure-flat. Let Tobias's real voice and the film's own craft do the emotional work; let interaction and motion serve pacing rather than spectacle. Practical information (schedule, contact, how to visit) should be effortless to find for the Victoria Falls community, even while the cinematic narrative serves the global audience arriving via Rise.</w:t>
      </w:r>
    </w:p>
    <w:p>
      <w:pPr>
        <w:pStyle w:val="Heading2"/>
        <w:spacing w:after="160" w:before="320"/>
      </w:pPr>
      <w:r>
        <w:rPr>
          <w:rFonts w:ascii="Georgia" w:cs="Georgia" w:eastAsia="Georgia" w:hAnsi="Georgia"/>
          <w:b/>
          <w:bCs/>
          <w:color w:val="1C1C1C"/>
          <w:sz w:val="26"/>
          <w:szCs w:val="26"/>
        </w:rPr>
        <w:t xml:space="preserve">One-Line Creative Territory</w:t>
      </w:r>
    </w:p>
    <w:p>
      <w:pPr>
        <w:spacing w:after="160" w:line="300"/>
      </w:pPr>
      <w:r>
        <w:rPr>
          <w:rFonts w:ascii="Calibri" w:cs="Calibri" w:eastAsia="Calibri" w:hAnsi="Calibri"/>
          <w:b/>
          <w:bCs/>
          <w:i/>
          <w:iCs/>
          <w:color w:val="1C1C1C"/>
          <w:sz w:val="22"/>
          <w:szCs w:val="22"/>
        </w:rPr>
        <w:t xml:space="preserve">"He fought to survive. Now he teaches others to." — the site's entire visual and narrative system should be buildable outward from that single sentence.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VFBA — Phase 0 Discovery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2026-07-10T19:12:08.062Z</dcterms:created>
  <dcterms:modified xsi:type="dcterms:W3CDTF">2026-07-10T19:12:08.075Z</dcterms:modified>
</cp:coreProperties>
</file>

<file path=docProps/custom.xml><?xml version="1.0" encoding="utf-8"?>
<Properties xmlns="http://schemas.openxmlformats.org/officeDocument/2006/custom-properties" xmlns:vt="http://schemas.openxmlformats.org/officeDocument/2006/docPropsVTypes"/>
</file>