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widowControl/>
        <w:spacing w:after="160" w:before="0" w:line="324"/>
        <w:rPr>
          <w:rFonts w:ascii="Microsoft YaHei" w:cs="Microsoft YaHei" w:eastAsia="Microsoft YaHei" w:hAnsi="Microsoft YaHei"/>
          <w:color w:val="202B36"/>
          <w:sz w:val="22"/>
          <w:szCs w:val="22"/>
          <w:lang w:val="zh-CN" w:eastAsia="zh-CN"/>
        </w:rPr>
      </w:pPr>
      <w:r>
        <w:rPr>
          <w:rFonts w:ascii="Microsoft YaHei" w:cs="Microsoft YaHei" w:eastAsia="Microsoft YaHei" w:hAnsi="Microsoft YaHei"/>
          <w:b/>
          <w:bCs/>
          <w:color w:val="202B36"/>
          <w:sz w:val="48"/>
          <w:szCs w:val="48"/>
          <w:lang w:val="zh-CN" w:eastAsia="zh-CN"/>
        </w:rPr>
        <w:t xml:space="preserve">青屿记录｜试运行简报</w:t>
      </w:r>
    </w:p>
    <w:p>
      <w:pPr>
        <w:widowControl/>
        <w:spacing w:after="160" w:before="0" w:line="324"/>
        <w:rPr>
          <w:rFonts w:ascii="Microsoft YaHei" w:cs="Microsoft YaHei" w:eastAsia="Microsoft YaHei" w:hAnsi="Microsoft YaHei"/>
          <w:color w:val="202B36"/>
          <w:sz w:val="22"/>
          <w:szCs w:val="22"/>
          <w:lang w:val="zh-CN" w:eastAsia="zh-CN"/>
        </w:rPr>
      </w:pPr>
      <w:r>
        <w:rPr>
          <w:rFonts w:ascii="Microsoft YaHei" w:cs="Microsoft YaHei" w:eastAsia="Microsoft YaHei" w:hAnsi="Microsoft YaHei"/>
          <w:b w:val="false"/>
          <w:color w:val="202B36"/>
          <w:sz w:val="22"/>
          <w:szCs w:val="22"/>
          <w:lang w:val="zh-CN" w:eastAsia="zh-CN"/>
        </w:rPr>
        <w:t xml:space="preserve">本次虚构试点覆盖 </w:t>
      </w:r>
      <w:r>
        <w:rPr>
          <w:rFonts w:ascii="Microsoft YaHei" w:cs="Microsoft YaHei" w:eastAsia="Microsoft YaHei" w:hAnsi="Microsoft YaHei"/>
          <w:b/>
          <w:bCs/>
          <w:color w:val="202B36"/>
          <w:sz w:val="22"/>
          <w:szCs w:val="22"/>
          <w:lang w:val="zh-CN" w:eastAsia="zh-CN"/>
        </w:rPr>
        <w:t xml:space="preserve">18 个城市</w:t>
      </w:r>
      <w:r>
        <w:rPr>
          <w:rFonts w:ascii="Microsoft YaHei" w:cs="Microsoft YaHei" w:eastAsia="Microsoft YaHei" w:hAnsi="Microsoft YaHei"/>
          <w:b w:val="false"/>
          <w:color w:val="202B36"/>
          <w:sz w:val="22"/>
          <w:szCs w:val="22"/>
          <w:lang w:val="zh-CN" w:eastAsia="zh-CN"/>
        </w:rPr>
        <w:t xml:space="preserve">，累计完成 24 次检查。</w:t>
      </w:r>
    </w:p>
    <w:p>
      <w:pPr>
        <w:widowControl/>
        <w:spacing w:after="160" w:before="0" w:line="324"/>
        <w:rPr>
          <w:rFonts w:ascii="Microsoft YaHei" w:cs="Microsoft YaHei" w:eastAsia="Microsoft YaHei" w:hAnsi="Microsoft YaHei"/>
          <w:color w:val="202B36"/>
          <w:sz w:val="22"/>
          <w:szCs w:val="22"/>
          <w:lang w:val="zh-CN" w:eastAsia="zh-CN"/>
        </w:rPr>
      </w:pPr>
      <w:r>
        <w:rPr>
          <w:rFonts w:ascii="Microsoft YaHei" w:cs="Microsoft YaHei" w:eastAsia="Microsoft YaHei" w:hAnsi="Microsoft YaHei"/>
          <w:b w:val="false"/>
          <w:color w:val="202B36"/>
          <w:sz w:val="22"/>
          <w:szCs w:val="22"/>
          <w:lang w:val="zh-CN" w:eastAsia="zh-CN"/>
        </w:rPr>
        <w:t xml:space="preserve">青屿记录是一个虚构的工作记录项目，用于验证同一份内容能否分别生成报告和演示文稿。此次试运行把资料收集、文字复核和版面检查分开记录，避免把文件生成成功直接视为验收完成。团队先核对事实与图片来源，再检查中文换行、表格边界和页码，最后在办公软件中修改并重新打开文件。样例里的城市、次数和进度均为测试数据，不对应真实机构，也不构成业务成果证明。</w:t>
      </w:r>
    </w:p>
    <w:p>
      <w:pPr>
        <w:pStyle w:val="Heading2"/>
        <w:keepNext/>
        <w:widowControl/>
        <w:spacing w:after="160" w:before="240" w:line="324"/>
        <w:rPr>
          <w:rFonts w:ascii="Microsoft YaHei" w:cs="Microsoft YaHei" w:eastAsia="Microsoft YaHei" w:hAnsi="Microsoft YaHei"/>
          <w:color w:val="202B36"/>
          <w:sz w:val="22"/>
          <w:szCs w:val="22"/>
          <w:lang w:val="zh-CN" w:eastAsia="zh-CN"/>
        </w:rPr>
      </w:pPr>
      <w:r>
        <w:rPr>
          <w:rFonts w:ascii="Microsoft YaHei" w:cs="Microsoft YaHei" w:eastAsia="Microsoft YaHei" w:hAnsi="Microsoft YaHei"/>
          <w:b/>
          <w:bCs/>
          <w:color w:val="202B36"/>
          <w:sz w:val="34"/>
          <w:szCs w:val="34"/>
          <w:lang w:val="zh-CN" w:eastAsia="zh-CN"/>
        </w:rPr>
        <w:t xml:space="preserve">本轮核对重点</w:t>
      </w:r>
    </w:p>
    <w:p>
      <w:pPr>
        <w:pStyle w:val="ListParagraph"/>
        <w:widowControl/>
        <w:numPr>
          <w:ilvl w:val="0"/>
          <w:numId w:val="2"/>
        </w:numPr>
        <w:spacing w:after="160" w:before="0" w:line="324"/>
        <w:rPr>
          <w:rFonts w:ascii="Microsoft YaHei" w:cs="Microsoft YaHei" w:eastAsia="Microsoft YaHei" w:hAnsi="Microsoft YaHei"/>
          <w:color w:val="202B36"/>
          <w:sz w:val="22"/>
          <w:szCs w:val="22"/>
          <w:lang w:val="zh-CN" w:eastAsia="zh-CN"/>
        </w:rPr>
      </w:pPr>
      <w:r>
        <w:rPr>
          <w:rFonts w:ascii="Microsoft YaHei" w:cs="Microsoft YaHei" w:eastAsia="Microsoft YaHei" w:hAnsi="Microsoft YaHei"/>
          <w:b w:val="false"/>
          <w:color w:val="202B36"/>
          <w:sz w:val="22"/>
          <w:szCs w:val="22"/>
          <w:lang w:val="zh-CN" w:eastAsia="zh-CN"/>
        </w:rPr>
        <w:t xml:space="preserve">先核对共享事实，再分别检查报告与演示的呈现。</w:t>
      </w:r>
    </w:p>
    <w:p>
      <w:pPr>
        <w:pStyle w:val="ListParagraph"/>
        <w:widowControl/>
        <w:numPr>
          <w:ilvl w:val="0"/>
          <w:numId w:val="2"/>
        </w:numPr>
        <w:spacing w:after="160" w:before="0" w:line="324"/>
        <w:rPr>
          <w:rFonts w:ascii="Microsoft YaHei" w:cs="Microsoft YaHei" w:eastAsia="Microsoft YaHei" w:hAnsi="Microsoft YaHei"/>
          <w:color w:val="202B36"/>
          <w:sz w:val="22"/>
          <w:szCs w:val="22"/>
          <w:lang w:val="zh-CN" w:eastAsia="zh-CN"/>
        </w:rPr>
      </w:pPr>
      <w:r>
        <w:rPr>
          <w:rFonts w:ascii="Microsoft YaHei" w:cs="Microsoft YaHei" w:eastAsia="Microsoft YaHei" w:hAnsi="Microsoft YaHei"/>
          <w:b w:val="false"/>
          <w:color w:val="202B36"/>
          <w:sz w:val="22"/>
          <w:szCs w:val="22"/>
          <w:lang w:val="zh-CN" w:eastAsia="zh-CN"/>
        </w:rPr>
        <w:t xml:space="preserve">在办公软件中修改、保存、重开，确认对象仍可编辑。</w:t>
      </w:r>
    </w:p>
    <w:p>
      <w:pPr>
        <w:widowControl/>
        <w:spacing w:after="160" w:before="0" w:line="324"/>
        <w:rPr>
          <w:rFonts w:ascii="Microsoft YaHei" w:cs="Microsoft YaHei" w:eastAsia="Microsoft YaHei" w:hAnsi="Microsoft YaHei"/>
          <w:color w:val="202B36"/>
          <w:sz w:val="22"/>
          <w:szCs w:val="22"/>
          <w:lang w:val="zh-CN" w:eastAsia="zh-CN"/>
        </w:rPr>
      </w:pPr>
      <w:r>
        <w:rPr>
          <w:rFonts w:ascii="Microsoft YaHei" w:cs="Microsoft YaHei" w:eastAsia="Microsoft YaHei" w:hAnsi="Microsoft YaHei"/>
          <w:b w:val="false"/>
          <w:color w:val="202B36"/>
          <w:sz w:val="22"/>
          <w:szCs w:val="22"/>
          <w:lang w:val="zh-CN" w:eastAsia="zh-CN"/>
        </w:rPr>
        <w:t xml:space="preserve">样例说明链接：</w:t>
      </w:r>
      <w:hyperlink w:history="1" r:id="rId2kriudtqlt-7fp6aa5ppd">
        <w:r>
          <w:rPr>
            <w:rFonts w:ascii="Microsoft YaHei" w:cs="Microsoft YaHei" w:eastAsia="Microsoft YaHei" w:hAnsi="Microsoft YaHei"/>
            <w:b w:val="false"/>
            <w:color w:val="202B36"/>
            <w:sz w:val="22"/>
            <w:szCs w:val="22"/>
            <w:lang w:val="zh-CN" w:eastAsia="zh-CN"/>
          </w:rPr>
          <w:t xml:space="preserve">example.org</w:t>
        </w:r>
      </w:hyperlink>
    </w:p>
    <w:p>
      <w:pPr>
        <w:pStyle w:val="Heading2"/>
        <w:keepNext/>
        <w:pageBreakBefore/>
        <w:widowControl/>
        <w:spacing w:after="160" w:before="0" w:line="324"/>
        <w:rPr>
          <w:rFonts w:ascii="Microsoft YaHei" w:cs="Microsoft YaHei" w:eastAsia="Microsoft YaHei" w:hAnsi="Microsoft YaHei"/>
          <w:color w:val="202B36"/>
          <w:sz w:val="22"/>
          <w:szCs w:val="22"/>
          <w:lang w:val="zh-CN" w:eastAsia="zh-CN"/>
        </w:rPr>
      </w:pPr>
      <w:r>
        <w:rPr>
          <w:rFonts w:ascii="Microsoft YaHei" w:cs="Microsoft YaHei" w:eastAsia="Microsoft YaHei" w:hAnsi="Microsoft YaHei"/>
          <w:b/>
          <w:bCs/>
          <w:color w:val="202B36"/>
          <w:sz w:val="34"/>
          <w:szCs w:val="34"/>
          <w:lang w:val="zh-CN" w:eastAsia="zh-CN"/>
        </w:rPr>
        <w:t xml:space="preserve">素材与检查记录</w:t>
      </w:r>
    </w:p>
    <w:p>
      <w:pPr>
        <w:keepNext/>
        <w:widowControl/>
        <w:spacing w:after="160" w:before="0" w:line="324"/>
        <w:rPr>
          <w:rFonts w:ascii="Microsoft YaHei" w:cs="Microsoft YaHei" w:eastAsia="Microsoft YaHei" w:hAnsi="Microsoft YaHei"/>
          <w:color w:val="202B36"/>
          <w:sz w:val="22"/>
          <w:szCs w:val="22"/>
          <w:lang w:val="zh-CN" w:eastAsia="zh-CN"/>
        </w:rPr>
      </w:pPr>
      <w:r>
        <w:drawing>
          <wp:inline distT="0" distB="0" distL="0" distR="0">
            <wp:extent cx="6096000" cy="2286000"/>
            <wp:effectExtent t="0" r="0" b="0" l="0"/>
            <wp:docPr id="2" name="三个不同颜色的矩形测试色块；不是统计图，也不是产品图片。" descr="三个不同颜色的矩形测试色块；不是统计图，也不是产品图片。" title="三个不同颜色的矩形测试色块；不是统计图，也不是产品图片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  <w:widowControl/>
        <w:spacing w:after="160" w:before="0" w:line="324"/>
        <w:rPr>
          <w:rFonts w:ascii="Microsoft YaHei" w:cs="Microsoft YaHei" w:eastAsia="Microsoft YaHei" w:hAnsi="Microsoft YaHei"/>
          <w:color w:val="202B36"/>
          <w:sz w:val="22"/>
          <w:szCs w:val="22"/>
          <w:lang w:val="zh-CN" w:eastAsia="zh-CN"/>
        </w:rPr>
      </w:pPr>
      <w:r>
        <w:rPr>
          <w:rFonts w:ascii="Microsoft YaHei" w:cs="Microsoft YaHei" w:eastAsia="Microsoft YaHei" w:hAnsi="Microsoft YaHei"/>
          <w:b w:val="false"/>
          <w:color w:val="202B36"/>
          <w:sz w:val="22"/>
          <w:szCs w:val="22"/>
          <w:lang w:val="zh-CN" w:eastAsia="zh-CN"/>
        </w:rPr>
        <w:t xml:space="preserve">程序生成的测试色块，仅用于验证本地图片写出。</w:t>
      </w:r>
    </w:p>
    <w:p>
      <w:pPr>
        <w:widowControl/>
        <w:spacing w:after="160" w:before="0" w:line="324"/>
        <w:rPr>
          <w:rFonts w:ascii="Microsoft YaHei" w:cs="Microsoft YaHei" w:eastAsia="Microsoft YaHei" w:hAnsi="Microsoft YaHei"/>
          <w:color w:val="202B36"/>
          <w:sz w:val="22"/>
          <w:szCs w:val="22"/>
          <w:lang w:val="zh-CN" w:eastAsia="zh-CN"/>
        </w:rPr>
      </w:pPr>
      <w:r>
        <w:rPr>
          <w:rFonts w:ascii="Microsoft YaHei" w:cs="Microsoft YaHei" w:eastAsia="Microsoft YaHei" w:hAnsi="Microsoft YaHei"/>
          <w:b w:val="false"/>
          <w:color w:val="202B36"/>
          <w:sz w:val="22"/>
          <w:szCs w:val="22"/>
          <w:lang w:val="zh-CN" w:eastAsia="zh-CN"/>
        </w:rPr>
        <w:t xml:space="preserve">图片与说明保持独立对象。测试色块不代表真实数据；检查重点是图片比例、位置与替换能力。</w:t>
      </w:r>
    </w:p>
    <w:p>
      <w:pPr>
        <w:pStyle w:val="Heading2"/>
        <w:keepNext/>
        <w:widowControl/>
        <w:spacing w:after="160" w:before="240" w:line="324"/>
        <w:rPr>
          <w:rFonts w:ascii="Microsoft YaHei" w:cs="Microsoft YaHei" w:eastAsia="Microsoft YaHei" w:hAnsi="Microsoft YaHei"/>
          <w:color w:val="202B36"/>
          <w:sz w:val="22"/>
          <w:szCs w:val="22"/>
          <w:lang w:val="zh-CN" w:eastAsia="zh-CN"/>
        </w:rPr>
      </w:pPr>
      <w:r>
        <w:rPr>
          <w:rFonts w:ascii="Microsoft YaHei" w:cs="Microsoft YaHei" w:eastAsia="Microsoft YaHei" w:hAnsi="Microsoft YaHei"/>
          <w:b/>
          <w:bCs/>
          <w:color w:val="202B36"/>
          <w:sz w:val="34"/>
          <w:szCs w:val="34"/>
          <w:lang w:val="zh-CN" w:eastAsia="zh-CN"/>
        </w:rPr>
        <w:t xml:space="preserve">样例检查分布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3248"/>
        <w:gridCol w:w="3248"/>
        <w:gridCol w:w="3250"/>
      </w:tblGrid>
      <w:tr>
        <w:trPr>
          <w:tblHeader/>
        </w:trPr>
        <w:tc>
          <w:tcPr>
            <w:tcW w:type="dxa" w:w="3248"/>
          </w:tcPr>
          <w:p>
            <w:pPr>
              <w:widowControl/>
              <w:spacing w:after="0" w:before="0" w:line="324"/>
              <w:rPr>
                <w:rFonts w:ascii="Microsoft YaHei" w:cs="Microsoft YaHei" w:eastAsia="Microsoft YaHei" w:hAnsi="Microsoft YaHei"/>
                <w:color w:val="202B36"/>
                <w:sz w:val="22"/>
                <w:szCs w:val="22"/>
                <w:lang w:val="zh-CN" w:eastAsia="zh-CN"/>
              </w:rPr>
            </w:pPr>
            <w:r>
              <w:rPr>
                <w:rFonts w:ascii="Microsoft YaHei" w:cs="Microsoft YaHei" w:eastAsia="Microsoft YaHei" w:hAnsi="Microsoft YaHei"/>
                <w:b/>
                <w:bCs/>
                <w:color w:val="202B36"/>
                <w:sz w:val="22"/>
                <w:szCs w:val="22"/>
                <w:lang w:val="zh-CN" w:eastAsia="zh-CN"/>
              </w:rPr>
              <w:t xml:space="preserve">检查环节</w:t>
            </w:r>
          </w:p>
        </w:tc>
        <w:tc>
          <w:tcPr>
            <w:tcW w:type="dxa" w:w="3248"/>
          </w:tcPr>
          <w:p>
            <w:pPr>
              <w:widowControl/>
              <w:spacing w:after="0" w:before="0" w:line="324"/>
              <w:rPr>
                <w:rFonts w:ascii="Microsoft YaHei" w:cs="Microsoft YaHei" w:eastAsia="Microsoft YaHei" w:hAnsi="Microsoft YaHei"/>
                <w:color w:val="202B36"/>
                <w:sz w:val="22"/>
                <w:szCs w:val="22"/>
                <w:lang w:val="zh-CN" w:eastAsia="zh-CN"/>
              </w:rPr>
            </w:pPr>
            <w:r>
              <w:rPr>
                <w:rFonts w:ascii="Microsoft YaHei" w:cs="Microsoft YaHei" w:eastAsia="Microsoft YaHei" w:hAnsi="Microsoft YaHei"/>
                <w:b/>
                <w:bCs/>
                <w:color w:val="202B36"/>
                <w:sz w:val="22"/>
                <w:szCs w:val="22"/>
                <w:lang w:val="zh-CN" w:eastAsia="zh-CN"/>
              </w:rPr>
              <w:t xml:space="preserve">记录数量</w:t>
            </w:r>
          </w:p>
        </w:tc>
        <w:tc>
          <w:tcPr>
            <w:tcW w:type="dxa" w:w="3250"/>
          </w:tcPr>
          <w:p>
            <w:pPr>
              <w:widowControl/>
              <w:spacing w:after="0" w:before="0" w:line="324"/>
              <w:rPr>
                <w:rFonts w:ascii="Microsoft YaHei" w:cs="Microsoft YaHei" w:eastAsia="Microsoft YaHei" w:hAnsi="Microsoft YaHei"/>
                <w:color w:val="202B36"/>
                <w:sz w:val="22"/>
                <w:szCs w:val="22"/>
                <w:lang w:val="zh-CN" w:eastAsia="zh-CN"/>
              </w:rPr>
            </w:pPr>
            <w:r>
              <w:rPr>
                <w:rFonts w:ascii="Microsoft YaHei" w:cs="Microsoft YaHei" w:eastAsia="Microsoft YaHei" w:hAnsi="Microsoft YaHei"/>
                <w:b/>
                <w:bCs/>
                <w:color w:val="202B36"/>
                <w:sz w:val="22"/>
                <w:szCs w:val="22"/>
                <w:lang w:val="zh-CN" w:eastAsia="zh-CN"/>
              </w:rPr>
              <w:t xml:space="preserve">状态</w:t>
            </w:r>
          </w:p>
        </w:tc>
      </w:tr>
      <w:tr>
        <w:trPr>
          <w:tblHeader w:val="off"/>
        </w:trPr>
        <w:tc>
          <w:tcPr>
            <w:tcW w:type="dxa" w:w="3248"/>
          </w:tcPr>
          <w:p>
            <w:pPr>
              <w:widowControl/>
              <w:spacing w:after="0" w:before="0" w:line="324"/>
              <w:rPr>
                <w:rFonts w:ascii="Microsoft YaHei" w:cs="Microsoft YaHei" w:eastAsia="Microsoft YaHei" w:hAnsi="Microsoft YaHei"/>
                <w:color w:val="202B36"/>
                <w:sz w:val="22"/>
                <w:szCs w:val="22"/>
                <w:lang w:val="zh-CN" w:eastAsia="zh-CN"/>
              </w:rPr>
            </w:pPr>
            <w:r>
              <w:rPr>
                <w:rFonts w:ascii="Microsoft YaHei" w:cs="Microsoft YaHei" w:eastAsia="Microsoft YaHei" w:hAnsi="Microsoft YaHei"/>
                <w:b w:val="false"/>
                <w:color w:val="202B36"/>
                <w:sz w:val="22"/>
                <w:szCs w:val="22"/>
                <w:lang w:val="zh-CN" w:eastAsia="zh-CN"/>
              </w:rPr>
              <w:t xml:space="preserve">输入</w:t>
            </w:r>
          </w:p>
        </w:tc>
        <w:tc>
          <w:tcPr>
            <w:tcW w:type="dxa" w:w="3248"/>
          </w:tcPr>
          <w:p>
            <w:pPr>
              <w:widowControl/>
              <w:spacing w:after="0" w:before="0" w:line="324"/>
              <w:rPr>
                <w:rFonts w:ascii="Microsoft YaHei" w:cs="Microsoft YaHei" w:eastAsia="Microsoft YaHei" w:hAnsi="Microsoft YaHei"/>
                <w:color w:val="202B36"/>
                <w:sz w:val="22"/>
                <w:szCs w:val="22"/>
                <w:lang w:val="zh-CN" w:eastAsia="zh-CN"/>
              </w:rPr>
            </w:pPr>
            <w:r>
              <w:rPr>
                <w:rFonts w:ascii="Microsoft YaHei" w:cs="Microsoft YaHei" w:eastAsia="Microsoft YaHei" w:hAnsi="Microsoft YaHei"/>
                <w:b w:val="false"/>
                <w:color w:val="202B36"/>
                <w:sz w:val="22"/>
                <w:szCs w:val="22"/>
                <w:lang w:val="zh-CN" w:eastAsia="zh-CN"/>
              </w:rPr>
              <w:t xml:space="preserve">8</w:t>
            </w:r>
          </w:p>
        </w:tc>
        <w:tc>
          <w:tcPr>
            <w:tcW w:type="dxa" w:w="3250"/>
          </w:tcPr>
          <w:p>
            <w:pPr>
              <w:widowControl/>
              <w:spacing w:after="0" w:before="0" w:line="324"/>
              <w:rPr>
                <w:rFonts w:ascii="Microsoft YaHei" w:cs="Microsoft YaHei" w:eastAsia="Microsoft YaHei" w:hAnsi="Microsoft YaHei"/>
                <w:color w:val="202B36"/>
                <w:sz w:val="22"/>
                <w:szCs w:val="22"/>
                <w:lang w:val="zh-CN" w:eastAsia="zh-CN"/>
              </w:rPr>
            </w:pPr>
            <w:r>
              <w:rPr>
                <w:rFonts w:ascii="Microsoft YaHei" w:cs="Microsoft YaHei" w:eastAsia="Microsoft YaHei" w:hAnsi="Microsoft YaHei"/>
                <w:b w:val="false"/>
                <w:color w:val="202B36"/>
                <w:sz w:val="22"/>
                <w:szCs w:val="22"/>
                <w:lang w:val="zh-CN" w:eastAsia="zh-CN"/>
              </w:rPr>
              <w:t xml:space="preserve">已检查</w:t>
            </w:r>
          </w:p>
        </w:tc>
      </w:tr>
      <w:tr>
        <w:trPr>
          <w:tblHeader w:val="off"/>
        </w:trPr>
        <w:tc>
          <w:tcPr>
            <w:tcW w:type="dxa" w:w="3248"/>
          </w:tcPr>
          <w:p>
            <w:pPr>
              <w:widowControl/>
              <w:spacing w:after="0" w:before="0" w:line="324"/>
              <w:rPr>
                <w:rFonts w:ascii="Microsoft YaHei" w:cs="Microsoft YaHei" w:eastAsia="Microsoft YaHei" w:hAnsi="Microsoft YaHei"/>
                <w:color w:val="202B36"/>
                <w:sz w:val="22"/>
                <w:szCs w:val="22"/>
                <w:lang w:val="zh-CN" w:eastAsia="zh-CN"/>
              </w:rPr>
            </w:pPr>
            <w:r>
              <w:rPr>
                <w:rFonts w:ascii="Microsoft YaHei" w:cs="Microsoft YaHei" w:eastAsia="Microsoft YaHei" w:hAnsi="Microsoft YaHei"/>
                <w:b w:val="false"/>
                <w:color w:val="202B36"/>
                <w:sz w:val="22"/>
                <w:szCs w:val="22"/>
                <w:lang w:val="zh-CN" w:eastAsia="zh-CN"/>
              </w:rPr>
              <w:t xml:space="preserve">排版</w:t>
            </w:r>
          </w:p>
        </w:tc>
        <w:tc>
          <w:tcPr>
            <w:tcW w:type="dxa" w:w="3248"/>
          </w:tcPr>
          <w:p>
            <w:pPr>
              <w:widowControl/>
              <w:spacing w:after="0" w:before="0" w:line="324"/>
              <w:rPr>
                <w:rFonts w:ascii="Microsoft YaHei" w:cs="Microsoft YaHei" w:eastAsia="Microsoft YaHei" w:hAnsi="Microsoft YaHei"/>
                <w:color w:val="202B36"/>
                <w:sz w:val="22"/>
                <w:szCs w:val="22"/>
                <w:lang w:val="zh-CN" w:eastAsia="zh-CN"/>
              </w:rPr>
            </w:pPr>
            <w:r>
              <w:rPr>
                <w:rFonts w:ascii="Microsoft YaHei" w:cs="Microsoft YaHei" w:eastAsia="Microsoft YaHei" w:hAnsi="Microsoft YaHei"/>
                <w:b w:val="false"/>
                <w:color w:val="202B36"/>
                <w:sz w:val="22"/>
                <w:szCs w:val="22"/>
                <w:lang w:val="zh-CN" w:eastAsia="zh-CN"/>
              </w:rPr>
              <w:t xml:space="preserve">9</w:t>
            </w:r>
          </w:p>
        </w:tc>
        <w:tc>
          <w:tcPr>
            <w:tcW w:type="dxa" w:w="3250"/>
          </w:tcPr>
          <w:p>
            <w:pPr>
              <w:widowControl/>
              <w:spacing w:after="0" w:before="0" w:line="324"/>
              <w:rPr>
                <w:rFonts w:ascii="Microsoft YaHei" w:cs="Microsoft YaHei" w:eastAsia="Microsoft YaHei" w:hAnsi="Microsoft YaHei"/>
                <w:color w:val="202B36"/>
                <w:sz w:val="22"/>
                <w:szCs w:val="22"/>
                <w:lang w:val="zh-CN" w:eastAsia="zh-CN"/>
              </w:rPr>
            </w:pPr>
            <w:r>
              <w:rPr>
                <w:rFonts w:ascii="Microsoft YaHei" w:cs="Microsoft YaHei" w:eastAsia="Microsoft YaHei" w:hAnsi="Microsoft YaHei"/>
                <w:b w:val="false"/>
                <w:color w:val="202B36"/>
                <w:sz w:val="22"/>
                <w:szCs w:val="22"/>
                <w:lang w:val="zh-CN" w:eastAsia="zh-CN"/>
              </w:rPr>
              <w:t xml:space="preserve">已检查</w:t>
            </w:r>
          </w:p>
        </w:tc>
      </w:tr>
      <w:tr>
        <w:trPr>
          <w:tblHeader w:val="off"/>
        </w:trPr>
        <w:tc>
          <w:tcPr>
            <w:tcW w:type="dxa" w:w="3248"/>
          </w:tcPr>
          <w:p>
            <w:pPr>
              <w:widowControl/>
              <w:spacing w:after="0" w:before="0" w:line="324"/>
              <w:rPr>
                <w:rFonts w:ascii="Microsoft YaHei" w:cs="Microsoft YaHei" w:eastAsia="Microsoft YaHei" w:hAnsi="Microsoft YaHei"/>
                <w:color w:val="202B36"/>
                <w:sz w:val="22"/>
                <w:szCs w:val="22"/>
                <w:lang w:val="zh-CN" w:eastAsia="zh-CN"/>
              </w:rPr>
            </w:pPr>
            <w:r>
              <w:rPr>
                <w:rFonts w:ascii="Microsoft YaHei" w:cs="Microsoft YaHei" w:eastAsia="Microsoft YaHei" w:hAnsi="Microsoft YaHei"/>
                <w:b w:val="false"/>
                <w:color w:val="202B36"/>
                <w:sz w:val="22"/>
                <w:szCs w:val="22"/>
                <w:lang w:val="zh-CN" w:eastAsia="zh-CN"/>
              </w:rPr>
              <w:t xml:space="preserve">复核</w:t>
            </w:r>
          </w:p>
        </w:tc>
        <w:tc>
          <w:tcPr>
            <w:tcW w:type="dxa" w:w="3248"/>
          </w:tcPr>
          <w:p>
            <w:pPr>
              <w:widowControl/>
              <w:spacing w:after="0" w:before="0" w:line="324"/>
              <w:rPr>
                <w:rFonts w:ascii="Microsoft YaHei" w:cs="Microsoft YaHei" w:eastAsia="Microsoft YaHei" w:hAnsi="Microsoft YaHei"/>
                <w:color w:val="202B36"/>
                <w:sz w:val="22"/>
                <w:szCs w:val="22"/>
                <w:lang w:val="zh-CN" w:eastAsia="zh-CN"/>
              </w:rPr>
            </w:pPr>
            <w:r>
              <w:rPr>
                <w:rFonts w:ascii="Microsoft YaHei" w:cs="Microsoft YaHei" w:eastAsia="Microsoft YaHei" w:hAnsi="Microsoft YaHei"/>
                <w:b w:val="false"/>
                <w:color w:val="202B36"/>
                <w:sz w:val="22"/>
                <w:szCs w:val="22"/>
                <w:lang w:val="zh-CN" w:eastAsia="zh-CN"/>
              </w:rPr>
              <w:t xml:space="preserve">7</w:t>
            </w:r>
          </w:p>
        </w:tc>
        <w:tc>
          <w:tcPr>
            <w:tcW w:type="dxa" w:w="3250"/>
          </w:tcPr>
          <w:p>
            <w:pPr>
              <w:widowControl/>
              <w:spacing w:after="0" w:before="0" w:line="324"/>
              <w:rPr>
                <w:rFonts w:ascii="Microsoft YaHei" w:cs="Microsoft YaHei" w:eastAsia="Microsoft YaHei" w:hAnsi="Microsoft YaHei"/>
                <w:color w:val="202B36"/>
                <w:sz w:val="22"/>
                <w:szCs w:val="22"/>
                <w:lang w:val="zh-CN" w:eastAsia="zh-CN"/>
              </w:rPr>
            </w:pPr>
            <w:r>
              <w:rPr>
                <w:rFonts w:ascii="Microsoft YaHei" w:cs="Microsoft YaHei" w:eastAsia="Microsoft YaHei" w:hAnsi="Microsoft YaHei"/>
                <w:b w:val="false"/>
                <w:color w:val="202B36"/>
                <w:sz w:val="22"/>
                <w:szCs w:val="22"/>
                <w:lang w:val="zh-CN" w:eastAsia="zh-CN"/>
              </w:rPr>
              <w:t xml:space="preserve">待调整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  <w:rPr>
        <w:rFonts w:ascii="Microsoft YaHei" w:cs="Microsoft YaHei" w:eastAsia="Microsoft YaHei" w:hAnsi="Microsoft YaHei"/>
        <w:color w:val="202B36"/>
        <w:sz w:val="22"/>
        <w:szCs w:val="22"/>
        <w:lang w:val="zh-CN" w:eastAsia="zh-C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B36"/>
        <w:sz w:val="22"/>
        <w:szCs w:val="22"/>
      </w:rPr>
    </w:rPrDefault>
    <w:pPrDefault>
      <w:pPr>
        <w:spacing w:after="160" w:before="0" w:line="32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pPr>
      <w:keepNext/>
    </w:pPr>
    <w:rPr>
      <w:rFonts w:ascii="Microsoft YaHei" w:cs="Microsoft YaHei" w:eastAsia="Microsoft YaHei" w:hAnsi="Microsoft YaHei"/>
      <w:b/>
      <w:bCs/>
      <w:sz w:val="48"/>
      <w:szCs w:val="4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1"/>
    <w:basedOn w:val="Normal"/>
    <w:next w:val="Normal"/>
    <w:qFormat/>
    <w:pPr>
      <w:keepNext/>
      <w:outlineLvl w:val="0"/>
    </w:pPr>
    <w:rPr>
      <w:rFonts w:ascii="Microsoft YaHei" w:cs="Microsoft YaHei" w:eastAsia="Microsoft YaHei" w:hAnsi="Microsoft YaHei"/>
      <w:b/>
      <w:bCs/>
      <w:color w:val="202B36"/>
      <w:sz w:val="48"/>
      <w:szCs w:val="48"/>
    </w:rPr>
  </w:style>
  <w:style w:type="paragraph" w:styleId="Heading2">
    <w:name w:val="Heading2"/>
    <w:basedOn w:val="Normal"/>
    <w:next w:val="Normal"/>
    <w:qFormat/>
    <w:pPr>
      <w:keepNext/>
      <w:outlineLvl w:val="1"/>
    </w:pPr>
    <w:rPr>
      <w:rFonts w:ascii="Microsoft YaHei" w:cs="Microsoft YaHei" w:eastAsia="Microsoft YaHei" w:hAnsi="Microsoft YaHei"/>
      <w:b/>
      <w:bCs/>
      <w:color w:val="202B36"/>
      <w:sz w:val="34"/>
      <w:szCs w:val="34"/>
    </w:rPr>
  </w:style>
  <w:style w:type="paragraph" w:styleId="Heading3">
    <w:name w:val="Heading3"/>
    <w:basedOn w:val="Normal"/>
    <w:next w:val="Normal"/>
    <w:qFormat/>
    <w:pPr>
      <w:keepNext/>
      <w:outlineLvl w:val="2"/>
    </w:pPr>
    <w:rPr>
      <w:rFonts w:ascii="Microsoft YaHei" w:cs="Microsoft YaHei" w:eastAsia="Microsoft YaHei" w:hAnsi="Microsoft YaHei"/>
      <w:b/>
      <w:bCs/>
      <w:color w:val="202B36"/>
      <w:sz w:val="28"/>
      <w:szCs w:val="28"/>
    </w:rPr>
  </w:style>
  <w:style w:type="paragraph" w:styleId="Heading4">
    <w:name w:val="Heading4"/>
    <w:basedOn w:val="Normal"/>
    <w:next w:val="Normal"/>
    <w:qFormat/>
    <w:pPr>
      <w:keepNext/>
      <w:outlineLvl w:val="3"/>
    </w:pPr>
    <w:rPr>
      <w:rFonts w:ascii="Microsoft YaHei" w:cs="Microsoft YaHei" w:eastAsia="Microsoft YaHei" w:hAnsi="Microsoft YaHei"/>
      <w:b/>
      <w:bCs/>
      <w:color w:val="202B36"/>
      <w:sz w:val="24"/>
      <w:szCs w:val="24"/>
    </w:rPr>
  </w:style>
  <w:style w:type="paragraph" w:styleId="Heading5">
    <w:name w:val="Heading5"/>
    <w:basedOn w:val="Normal"/>
    <w:next w:val="Normal"/>
    <w:qFormat/>
    <w:pPr>
      <w:keepNext/>
      <w:outlineLvl w:val="4"/>
    </w:pPr>
    <w:rPr>
      <w:rFonts w:ascii="Microsoft YaHei" w:cs="Microsoft YaHei" w:eastAsia="Microsoft YaHei" w:hAnsi="Microsoft YaHei"/>
      <w:b/>
      <w:bCs/>
      <w:color w:val="202B36"/>
      <w:sz w:val="22"/>
      <w:szCs w:val="22"/>
    </w:rPr>
  </w:style>
  <w:style w:type="paragraph" w:styleId="Heading6">
    <w:name w:val="Heading6"/>
    <w:basedOn w:val="Normal"/>
    <w:next w:val="Normal"/>
    <w:qFormat/>
    <w:pPr>
      <w:keepNext/>
      <w:outlineLvl w:val="5"/>
    </w:pPr>
    <w:rPr>
      <w:rFonts w:ascii="Microsoft YaHei" w:cs="Microsoft YaHei" w:eastAsia="Microsoft YaHei" w:hAnsi="Microsoft YaHei"/>
      <w:b/>
      <w:bCs/>
      <w:color w:val="202B3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2kriudtqlt-7fp6aa5ppd" Type="http://schemas.openxmlformats.org/officeDocument/2006/relationships/hyperlink" Target="https://example.org" TargetMode="External"/><Relationship Id="rId8" Type="http://schemas.openxmlformats.org/officeDocument/2006/relationships/image" Target="media/830e31ecbb35177701902d8086b6dc0b89ee7b3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e1c2bf3a-0909-4f01-9b78-ff5ac1d5795a</dc:title>
  <dc:creator>MarkFlow</dc:creator>
  <cp:lastModifiedBy>Un-named</cp:lastModifiedBy>
  <cp:revision>1</cp:revision>
  <dcterms:created xsi:type="dcterms:W3CDTF">2026-10-29T16:47:52.852Z</dcterms:created>
  <dcterms:modified xsi:type="dcterms:W3CDTF">2026-10-29T16:47:52.852Z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