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40"/>
        <w:jc w:val="left"/>
        <w:rPr/>
      </w:pPr>
      <w:r>
        <w:rPr/>
        <w:t>Identity and Access Management Policy</w:t>
      </w:r>
    </w:p>
    <w:tbl>
      <w:tblPr>
        <w:tblW w:w="5000" w:type="pct"/>
        <w:jc w:val="left"/>
        <w:tblInd w:w="-7" w:type="dxa"/>
        <w:tblLayout w:type="fixed"/>
        <w:tblCellMar>
          <w:top w:w="45" w:type="dxa"/>
          <w:left w:w="45" w:type="dxa"/>
          <w:bottom w:w="45" w:type="dxa"/>
          <w:right w:w="45" w:type="dxa"/>
        </w:tblCellMar>
      </w:tblPr>
      <w:tblGrid>
        <w:gridCol w:w="2040"/>
        <w:gridCol w:w="3629"/>
        <w:gridCol w:w="2040"/>
        <w:gridCol w:w="3629"/>
      </w:tblGrid>
      <w:tr>
        <w:trPr/>
        <w:tc>
          <w:tcPr>
            <w:tcW w:w="2040"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Organization</w:t>
            </w:r>
          </w:p>
        </w:tc>
        <w:tc>
          <w:tcPr>
            <w:tcW w:w="3629" w:type="dxa"/>
            <w:tcBorders>
              <w:top w:val="single" w:sz="6" w:space="0" w:color="808080"/>
              <w:left w:val="single" w:sz="2" w:space="0" w:color="808080"/>
              <w:bottom w:val="single" w:sz="2" w:space="0" w:color="808080"/>
              <w:right w:val="single" w:sz="6" w:space="0" w:color="808080"/>
            </w:tcBorders>
            <w:vAlign w:val="center"/>
          </w:tcPr>
          <w:p>
            <w:pPr>
              <w:pStyle w:val="TableContents"/>
              <w:bidi w:val="0"/>
              <w:spacing w:before="0" w:after="283"/>
              <w:jc w:val="left"/>
              <w:rPr/>
            </w:pPr>
            <w:r>
              <w:rPr/>
              <w:t>[Company name]</w:t>
            </w:r>
          </w:p>
        </w:tc>
        <w:tc>
          <w:tcPr>
            <w:tcW w:w="2040"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Document ID</w:t>
            </w:r>
          </w:p>
        </w:tc>
        <w:tc>
          <w:tcPr>
            <w:tcW w:w="3629" w:type="dxa"/>
            <w:tcBorders>
              <w:top w:val="single" w:sz="6" w:space="0" w:color="808080"/>
              <w:left w:val="single" w:sz="2" w:space="0" w:color="808080"/>
              <w:bottom w:val="single" w:sz="2" w:space="0" w:color="808080"/>
              <w:right w:val="single" w:sz="6" w:space="0" w:color="808080"/>
            </w:tcBorders>
            <w:vAlign w:val="center"/>
          </w:tcPr>
          <w:p>
            <w:pPr>
              <w:pStyle w:val="TableContents"/>
              <w:bidi w:val="0"/>
              <w:spacing w:before="0" w:after="283"/>
              <w:jc w:val="left"/>
              <w:rPr/>
            </w:pPr>
            <w:r>
              <w:rPr/>
              <w:t>POL-05</w:t>
            </w:r>
          </w:p>
        </w:tc>
      </w:tr>
      <w:tr>
        <w:trPr/>
        <w:tc>
          <w:tcPr>
            <w:tcW w:w="2040" w:type="dxa"/>
            <w:tcBorders>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Version</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1.0</w:t>
            </w:r>
          </w:p>
        </w:tc>
        <w:tc>
          <w:tcPr>
            <w:tcW w:w="2040" w:type="dxa"/>
            <w:tcBorders>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Effective date</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[Date]</w:t>
            </w:r>
          </w:p>
        </w:tc>
      </w:tr>
      <w:tr>
        <w:trPr/>
        <w:tc>
          <w:tcPr>
            <w:tcW w:w="2040" w:type="dxa"/>
            <w:tcBorders>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Policy owner</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Chief Information Security Officer (CISO)</w:t>
            </w:r>
          </w:p>
        </w:tc>
        <w:tc>
          <w:tcPr>
            <w:tcW w:w="2040" w:type="dxa"/>
            <w:tcBorders>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Approved by</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[Name, Title]</w:t>
            </w:r>
          </w:p>
        </w:tc>
      </w:tr>
      <w:tr>
        <w:trPr/>
        <w:tc>
          <w:tcPr>
            <w:tcW w:w="2040" w:type="dxa"/>
            <w:tcBorders>
              <w:left w:val="single" w:sz="6" w:space="0" w:color="808080"/>
              <w:bottom w:val="single" w:sz="6" w:space="0" w:color="808080"/>
              <w:right w:val="single" w:sz="6" w:space="0" w:color="808080"/>
            </w:tcBorders>
            <w:shd w:fill="D9E2F3" w:val="clear"/>
            <w:vAlign w:val="center"/>
          </w:tcPr>
          <w:p>
            <w:pPr>
              <w:pStyle w:val="TableContents"/>
              <w:bidi w:val="0"/>
              <w:spacing w:before="0" w:after="283"/>
              <w:jc w:val="left"/>
              <w:rPr>
                <w:b/>
              </w:rPr>
            </w:pPr>
            <w:r>
              <w:rPr>
                <w:b/>
              </w:rPr>
              <w:t>Review frequency</w:t>
            </w:r>
          </w:p>
        </w:tc>
        <w:tc>
          <w:tcPr>
            <w:tcW w:w="3629"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At least annually, and after any significant incident or change</w:t>
            </w:r>
          </w:p>
        </w:tc>
        <w:tc>
          <w:tcPr>
            <w:tcW w:w="2040" w:type="dxa"/>
            <w:tcBorders>
              <w:left w:val="single" w:sz="2" w:space="0" w:color="808080"/>
              <w:bottom w:val="single" w:sz="6" w:space="0" w:color="808080"/>
              <w:right w:val="single" w:sz="6" w:space="0" w:color="808080"/>
            </w:tcBorders>
            <w:shd w:fill="D9E2F3" w:val="clear"/>
            <w:vAlign w:val="center"/>
          </w:tcPr>
          <w:p>
            <w:pPr>
              <w:pStyle w:val="TableContents"/>
              <w:bidi w:val="0"/>
              <w:spacing w:before="0" w:after="283"/>
              <w:jc w:val="left"/>
              <w:rPr>
                <w:b/>
              </w:rPr>
            </w:pPr>
            <w:r>
              <w:rPr>
                <w:b/>
              </w:rPr>
              <w:t>Classification</w:t>
            </w:r>
          </w:p>
        </w:tc>
        <w:tc>
          <w:tcPr>
            <w:tcW w:w="3629"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Internal</w:t>
            </w:r>
          </w:p>
        </w:tc>
      </w:tr>
    </w:tbl>
    <w:p>
      <w:pPr>
        <w:pStyle w:val="Heading2"/>
        <w:bidi w:val="0"/>
        <w:jc w:val="left"/>
        <w:rPr/>
      </w:pPr>
      <w:r>
        <w:rPr/>
        <w:t>1. Purpose</w:t>
      </w:r>
    </w:p>
    <w:p>
      <w:pPr>
        <w:pStyle w:val="BodyText"/>
        <w:bidi w:val="0"/>
        <w:jc w:val="left"/>
        <w:rPr/>
      </w:pPr>
      <w:r>
        <w:rPr/>
        <w:t>This policy ensures that only authorized, identified people and services get access to Organization resources, with the least privilege necessary, and that access is reviewed and removed promptly.</w:t>
      </w:r>
    </w:p>
    <w:p>
      <w:pPr>
        <w:pStyle w:val="Heading2"/>
        <w:bidi w:val="0"/>
        <w:jc w:val="left"/>
        <w:rPr/>
      </w:pPr>
      <w:r>
        <w:rPr/>
        <w:t>2. Scope</w:t>
      </w:r>
    </w:p>
    <w:p>
      <w:pPr>
        <w:pStyle w:val="BodyText"/>
        <w:bidi w:val="0"/>
        <w:jc w:val="left"/>
        <w:rPr/>
      </w:pPr>
      <w:r>
        <w:rPr/>
        <w:t>Applies to all accounts (user, privileged, service and shared) on all Organization systems, and to all employees, contractors, interns, vendors and other third parties.</w:t>
      </w:r>
    </w:p>
    <w:p>
      <w:pPr>
        <w:pStyle w:val="Heading2"/>
        <w:bidi w:val="0"/>
        <w:jc w:val="left"/>
        <w:rPr/>
      </w:pPr>
      <w:r>
        <w:rPr/>
        <w:t>3. Definitions</w:t>
      </w:r>
    </w:p>
    <w:tbl>
      <w:tblPr>
        <w:tblW w:w="5000" w:type="pct"/>
        <w:jc w:val="left"/>
        <w:tblInd w:w="-7" w:type="dxa"/>
        <w:tblLayout w:type="fixed"/>
        <w:tblCellMar>
          <w:top w:w="45" w:type="dxa"/>
          <w:left w:w="45" w:type="dxa"/>
          <w:bottom w:w="45" w:type="dxa"/>
          <w:right w:w="45" w:type="dxa"/>
        </w:tblCellMar>
      </w:tblPr>
      <w:tblGrid>
        <w:gridCol w:w="2493"/>
        <w:gridCol w:w="8845"/>
      </w:tblGrid>
      <w:tr>
        <w:trPr/>
        <w:tc>
          <w:tcPr>
            <w:tcW w:w="2493"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Term</w:t>
            </w:r>
          </w:p>
        </w:tc>
        <w:tc>
          <w:tcPr>
            <w:tcW w:w="8845"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Definition</w:t>
            </w:r>
          </w:p>
        </w:tc>
      </w:tr>
      <w:tr>
        <w:trPr/>
        <w:tc>
          <w:tcPr>
            <w:tcW w:w="249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Least privilege</w:t>
            </w:r>
          </w:p>
        </w:tc>
        <w:tc>
          <w:tcPr>
            <w:tcW w:w="884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Granting only the access needed to perform a job, and no more.</w:t>
            </w:r>
          </w:p>
        </w:tc>
      </w:tr>
      <w:tr>
        <w:trPr/>
        <w:tc>
          <w:tcPr>
            <w:tcW w:w="249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Privileged account</w:t>
            </w:r>
          </w:p>
        </w:tc>
        <w:tc>
          <w:tcPr>
            <w:tcW w:w="884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Account with administrative rights (e.g. root, Domain Admin, local Administrator, firewall admin).</w:t>
            </w:r>
          </w:p>
        </w:tc>
      </w:tr>
      <w:tr>
        <w:trPr/>
        <w:tc>
          <w:tcPr>
            <w:tcW w:w="249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Service account</w:t>
            </w:r>
          </w:p>
        </w:tc>
        <w:tc>
          <w:tcPr>
            <w:tcW w:w="884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Non-human account used by an application or service.</w:t>
            </w:r>
          </w:p>
        </w:tc>
      </w:tr>
      <w:tr>
        <w:trPr/>
        <w:tc>
          <w:tcPr>
            <w:tcW w:w="249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MFA</w:t>
            </w:r>
          </w:p>
        </w:tc>
        <w:tc>
          <w:tcPr>
            <w:tcW w:w="884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Multi-factor authentication: two or more of something you know, have or are.</w:t>
            </w:r>
          </w:p>
        </w:tc>
      </w:tr>
      <w:tr>
        <w:trPr/>
        <w:tc>
          <w:tcPr>
            <w:tcW w:w="2493"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Access review</w:t>
            </w:r>
          </w:p>
        </w:tc>
        <w:tc>
          <w:tcPr>
            <w:tcW w:w="884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Periodic check by managers that each person's access is still required.</w:t>
            </w:r>
          </w:p>
        </w:tc>
      </w:tr>
    </w:tbl>
    <w:p>
      <w:pPr>
        <w:pStyle w:val="Heading2"/>
        <w:bidi w:val="0"/>
        <w:jc w:val="left"/>
        <w:rPr/>
      </w:pPr>
      <w:r>
        <w:rPr/>
        <w:t>4. Account Management</w:t>
      </w:r>
    </w:p>
    <w:p>
      <w:pPr>
        <w:pStyle w:val="BodyText"/>
        <w:bidi w:val="0"/>
        <w:ind w:hanging="0" w:left="0" w:right="0"/>
        <w:jc w:val="left"/>
        <w:rPr/>
      </w:pPr>
      <w:r>
        <w:rPr/>
        <w:t xml:space="preserve">4.1 Every user has a unique account; shared and generic accounts are prohibited unless approved as an exception. </w:t>
      </w:r>
      <w:r>
        <w:rPr>
          <w:color w:val="595959"/>
          <w:sz w:val="16"/>
        </w:rPr>
        <w:t>[800-53: AC-2, IA-2, IA-4 | 27002: 5.16 | CIS: 5.1]</w:t>
      </w:r>
    </w:p>
    <w:p>
      <w:pPr>
        <w:pStyle w:val="BodyText"/>
        <w:bidi w:val="0"/>
        <w:ind w:hanging="0" w:left="0" w:right="0"/>
        <w:jc w:val="left"/>
        <w:rPr/>
      </w:pPr>
      <w:r>
        <w:rPr/>
        <w:t xml:space="preserve">4.2 Access is requested in writing, approved by the user's manager and the resource owner, and granted according to the user's role. </w:t>
      </w:r>
      <w:r>
        <w:rPr>
          <w:color w:val="595959"/>
          <w:sz w:val="16"/>
        </w:rPr>
        <w:t>[800-53: AC-2, AC-3 | 27002: 5.15, 5.18 | CIS: 6.1, 6.8]</w:t>
      </w:r>
    </w:p>
    <w:p>
      <w:pPr>
        <w:pStyle w:val="BodyText"/>
        <w:bidi w:val="0"/>
        <w:ind w:hanging="0" w:left="0" w:right="0"/>
        <w:jc w:val="left"/>
        <w:rPr/>
      </w:pPr>
      <w:r>
        <w:rPr/>
        <w:t xml:space="preserve">4.3 An inventory of all accounts, including service accounts and their owners, is maintained. </w:t>
      </w:r>
      <w:r>
        <w:rPr>
          <w:color w:val="595959"/>
          <w:sz w:val="16"/>
        </w:rPr>
        <w:t>[800-53: AC-2, CM-8 | 27002: 5.16 | CIS: 5.1, 5.5]</w:t>
      </w:r>
    </w:p>
    <w:p>
      <w:pPr>
        <w:pStyle w:val="BodyText"/>
        <w:bidi w:val="0"/>
        <w:ind w:hanging="0" w:left="0" w:right="0"/>
        <w:jc w:val="left"/>
        <w:rPr/>
      </w:pPr>
      <w:r>
        <w:rPr/>
        <w:t xml:space="preserve">4.4 Accounts are disabled within 24 hours of termination (immediately for involuntary termination), and access is adjusted within 5 business days of a role change. </w:t>
      </w:r>
      <w:r>
        <w:rPr>
          <w:color w:val="595959"/>
          <w:sz w:val="16"/>
        </w:rPr>
        <w:t>[800-53: AC-2, PS-4, PS-5 | 27002: 5.18, 6.5 | CIS: 6.2]</w:t>
      </w:r>
    </w:p>
    <w:p>
      <w:pPr>
        <w:pStyle w:val="BodyText"/>
        <w:bidi w:val="0"/>
        <w:ind w:hanging="0" w:left="0" w:right="0"/>
        <w:jc w:val="left"/>
        <w:rPr/>
      </w:pPr>
      <w:r>
        <w:rPr/>
        <w:t xml:space="preserve">4.5 Accounts inactive for 45 days are disabled. </w:t>
      </w:r>
      <w:r>
        <w:rPr>
          <w:color w:val="595959"/>
          <w:sz w:val="16"/>
        </w:rPr>
        <w:t>[800-53: AC-2(3) | 27002: 5.18 | CIS: 5.3]</w:t>
      </w:r>
    </w:p>
    <w:p>
      <w:pPr>
        <w:pStyle w:val="Heading2"/>
        <w:bidi w:val="0"/>
        <w:jc w:val="left"/>
        <w:rPr/>
      </w:pPr>
      <w:r>
        <w:rPr/>
        <w:t>5. Least Privilege and Privileged Access</w:t>
      </w:r>
    </w:p>
    <w:p>
      <w:pPr>
        <w:pStyle w:val="BodyText"/>
        <w:bidi w:val="0"/>
        <w:ind w:hanging="0" w:left="0" w:right="0"/>
        <w:jc w:val="left"/>
        <w:rPr/>
      </w:pPr>
      <w:r>
        <w:rPr/>
        <w:t xml:space="preserve">5.1 Access is granted on least-privilege and need-to-know principles; duties are separated so that no one person can complete and approve a sensitive action alone. </w:t>
      </w:r>
      <w:r>
        <w:rPr>
          <w:color w:val="595959"/>
          <w:sz w:val="16"/>
        </w:rPr>
        <w:t>[800-53: AC-5, AC-6 | 27002: 5.3, 8.2, 8.3 | CIS: 6.8]</w:t>
      </w:r>
    </w:p>
    <w:p>
      <w:pPr>
        <w:pStyle w:val="BodyText"/>
        <w:bidi w:val="0"/>
        <w:ind w:hanging="0" w:left="0" w:right="0"/>
        <w:jc w:val="left"/>
        <w:rPr/>
      </w:pPr>
      <w:r>
        <w:rPr/>
        <w:t xml:space="preserve">5.2 Administrators use a separate, dedicated privileged account for administrative work only. </w:t>
      </w:r>
      <w:r>
        <w:rPr>
          <w:color w:val="595959"/>
          <w:sz w:val="16"/>
        </w:rPr>
        <w:t>[800-53: AC-6(2), AC-6(5) | 27002: 8.2 | CIS: 5.4]</w:t>
      </w:r>
    </w:p>
    <w:p>
      <w:pPr>
        <w:pStyle w:val="BodyText"/>
        <w:bidi w:val="0"/>
        <w:ind w:hanging="0" w:left="0" w:right="0"/>
        <w:jc w:val="left"/>
        <w:rPr/>
      </w:pPr>
      <w:r>
        <w:rPr/>
        <w:t xml:space="preserve">5.3 Use of privileged functions is logged and reviewed. </w:t>
      </w:r>
      <w:r>
        <w:rPr>
          <w:color w:val="595959"/>
          <w:sz w:val="16"/>
        </w:rPr>
        <w:t>[800-53: AC-6(9), AU-6 | 27002: 8.2, 8.15 | CIS: 8.2, 8.11]</w:t>
      </w:r>
    </w:p>
    <w:p>
      <w:pPr>
        <w:pStyle w:val="Heading2"/>
        <w:bidi w:val="0"/>
        <w:jc w:val="left"/>
        <w:rPr/>
      </w:pPr>
      <w:r>
        <w:rPr/>
        <w:t>6. Authentication</w:t>
      </w:r>
    </w:p>
    <w:p>
      <w:pPr>
        <w:pStyle w:val="BodyText"/>
        <w:bidi w:val="0"/>
        <w:ind w:hanging="0" w:left="0" w:right="0"/>
        <w:jc w:val="left"/>
        <w:rPr/>
      </w:pPr>
      <w:r>
        <w:rPr/>
        <w:t xml:space="preserve">6.1 MFA is required for all privileged access, remote access and externally exposed applications. </w:t>
      </w:r>
      <w:r>
        <w:rPr>
          <w:color w:val="595959"/>
          <w:sz w:val="16"/>
        </w:rPr>
        <w:t>[800-53: IA-2(1), IA-2(2) | 27002: 8.5 | CIS: 6.3, 6.4, 6.5]</w:t>
      </w:r>
    </w:p>
    <w:p>
      <w:pPr>
        <w:pStyle w:val="BodyText"/>
        <w:bidi w:val="0"/>
        <w:ind w:hanging="0" w:left="0" w:right="0"/>
        <w:jc w:val="left"/>
        <w:rPr/>
      </w:pPr>
      <w:r>
        <w:rPr/>
        <w:t xml:space="preserve">6.2 Passwords meet the Password Policy; default passwords are changed before a system goes into production. </w:t>
      </w:r>
      <w:r>
        <w:rPr>
          <w:color w:val="595959"/>
          <w:sz w:val="16"/>
        </w:rPr>
        <w:t>[800-53: IA-5, IA-5(1) | 27002: 5.17 | CIS: 4.7, 5.2]</w:t>
      </w:r>
    </w:p>
    <w:p>
      <w:pPr>
        <w:pStyle w:val="BodyText"/>
        <w:bidi w:val="0"/>
        <w:ind w:hanging="0" w:left="0" w:right="0"/>
        <w:jc w:val="left"/>
        <w:rPr/>
      </w:pPr>
      <w:r>
        <w:rPr/>
        <w:t xml:space="preserve">6.3 Authentication systems are centralized where possible. </w:t>
      </w:r>
      <w:r>
        <w:rPr>
          <w:color w:val="595959"/>
          <w:sz w:val="16"/>
        </w:rPr>
        <w:t>[800-53: AC-2(1) | 27002: 5.16 | CIS: 5.6, 6.7]</w:t>
      </w:r>
    </w:p>
    <w:p>
      <w:pPr>
        <w:pStyle w:val="Heading2"/>
        <w:bidi w:val="0"/>
        <w:jc w:val="left"/>
        <w:rPr/>
      </w:pPr>
      <w:r>
        <w:rPr/>
        <w:t>7. Access Reviews and Logging</w:t>
      </w:r>
    </w:p>
    <w:p>
      <w:pPr>
        <w:pStyle w:val="BodyText"/>
        <w:bidi w:val="0"/>
        <w:ind w:hanging="0" w:left="0" w:right="0"/>
        <w:jc w:val="left"/>
        <w:rPr/>
      </w:pPr>
      <w:r>
        <w:rPr/>
        <w:t xml:space="preserve">7.1 Managers review user access quarterly and privileged access monthly; unneeded access is removed. </w:t>
      </w:r>
      <w:r>
        <w:rPr>
          <w:color w:val="595959"/>
          <w:sz w:val="16"/>
        </w:rPr>
        <w:t>[800-53: AC-2 | 27002: 5.18 | CIS: 5.1, 5.3]</w:t>
      </w:r>
    </w:p>
    <w:p>
      <w:pPr>
        <w:pStyle w:val="BodyText"/>
        <w:bidi w:val="0"/>
        <w:ind w:hanging="0" w:left="0" w:right="0"/>
        <w:jc w:val="left"/>
        <w:rPr/>
      </w:pPr>
      <w:r>
        <w:rPr/>
        <w:t xml:space="preserve">7.2 Account creation, modification, privilege changes and failed logons are logged and alerted on. </w:t>
      </w:r>
      <w:r>
        <w:rPr>
          <w:color w:val="595959"/>
          <w:sz w:val="16"/>
        </w:rPr>
        <w:t>[800-53: AC-2(4), AU-2 | 27002: 8.15, 8.16 | CIS: 8.2, 8.5]</w:t>
      </w:r>
    </w:p>
    <w:p>
      <w:pPr>
        <w:pStyle w:val="Heading2"/>
        <w:bidi w:val="0"/>
        <w:jc w:val="left"/>
        <w:rPr/>
      </w:pPr>
      <w:r>
        <w:rPr/>
        <w:t>8. Compliance and Disciplinary Action</w:t>
      </w:r>
    </w:p>
    <w:p>
      <w:pPr>
        <w:pStyle w:val="BodyText"/>
        <w:bidi w:val="0"/>
        <w:ind w:hanging="0" w:left="0" w:right="0"/>
        <w:jc w:val="left"/>
        <w:rPr/>
      </w:pPr>
      <w:r>
        <w:rPr/>
        <w:t xml:space="preserve">8.1 Compliance with this document is mandatory for everyone in scope. Compliance is verified through technical monitoring, audits and management review. </w:t>
      </w:r>
      <w:r>
        <w:rPr>
          <w:color w:val="595959"/>
          <w:sz w:val="16"/>
        </w:rPr>
        <w:t>[800-53: CA-2, CA-7 | 27002: 5.36 | CIS: 17.9]</w:t>
      </w:r>
    </w:p>
    <w:p>
      <w:pPr>
        <w:pStyle w:val="BodyText"/>
        <w:bidi w:val="0"/>
        <w:ind w:hanging="0" w:left="0" w:right="0"/>
        <w:jc w:val="left"/>
        <w:rPr/>
      </w:pPr>
      <w:r>
        <w:rPr/>
        <w:t xml:space="preserve">8.2 Violations are handled through the Organization's formal disciplinary process, in proportion to the severity and intent of the violation: verbal or written warning, mandatory retraining, suspension or removal of access rights, and termination of employment or contract. Violations involving illegal activity are referred to law enforcement. </w:t>
      </w:r>
      <w:r>
        <w:rPr>
          <w:color w:val="595959"/>
          <w:sz w:val="16"/>
        </w:rPr>
        <w:t>[800-53: PS-8 | 27002: 6.4]</w:t>
      </w:r>
    </w:p>
    <w:p>
      <w:pPr>
        <w:pStyle w:val="BodyText"/>
        <w:bidi w:val="0"/>
        <w:ind w:hanging="0" w:left="0" w:right="0"/>
        <w:jc w:val="left"/>
        <w:rPr/>
      </w:pPr>
      <w:r>
        <w:rPr/>
        <w:t xml:space="preserve">8.3 Contractors, vendors and other third parties who violate this document may have their access revoked and their contract terminated, and may be held liable for resulting damages. </w:t>
      </w:r>
      <w:r>
        <w:rPr>
          <w:color w:val="595959"/>
          <w:sz w:val="16"/>
        </w:rPr>
        <w:t>[800-53: PS-7, SA-9 | 27002: 5.20 | CIS: 15.4]</w:t>
      </w:r>
    </w:p>
    <w:p>
      <w:pPr>
        <w:pStyle w:val="BodyText"/>
        <w:bidi w:val="0"/>
        <w:ind w:hanging="0" w:left="0" w:right="0"/>
        <w:jc w:val="left"/>
        <w:rPr/>
      </w:pPr>
      <w:r>
        <w:rPr/>
        <w:t xml:space="preserve">8.4 Personnel must report suspected violations to their manager or the Information Security team. Reports made in good faith are protected from retaliation. </w:t>
      </w:r>
      <w:r>
        <w:rPr>
          <w:color w:val="595959"/>
          <w:sz w:val="16"/>
        </w:rPr>
        <w:t>[800-53: IR-6 | 27002: 6.8 | CIS: 17.3]</w:t>
      </w:r>
    </w:p>
    <w:p>
      <w:pPr>
        <w:pStyle w:val="Heading2"/>
        <w:bidi w:val="0"/>
        <w:jc w:val="left"/>
        <w:rPr/>
      </w:pPr>
      <w:r>
        <w:rPr/>
        <w:t>9. Exceptions</w:t>
      </w:r>
    </w:p>
    <w:p>
      <w:pPr>
        <w:pStyle w:val="BodyText"/>
        <w:bidi w:val="0"/>
        <w:ind w:hanging="0" w:left="0" w:right="0"/>
        <w:jc w:val="left"/>
        <w:rPr/>
      </w:pPr>
      <w:r>
        <w:rPr/>
        <w:t xml:space="preserve">9.1 Any exception must be requested in writing, state the business justification, the risk and the compensating controls, and be approved by the CISO (and the system or data owner) before it takes effect. </w:t>
      </w:r>
      <w:r>
        <w:rPr>
          <w:color w:val="595959"/>
          <w:sz w:val="16"/>
        </w:rPr>
        <w:t>[800-53: PM-9, CA-7 | 27002: 5.1, 5.36]</w:t>
      </w:r>
    </w:p>
    <w:p>
      <w:pPr>
        <w:pStyle w:val="BodyText"/>
        <w:bidi w:val="0"/>
        <w:ind w:hanging="0" w:left="0" w:right="0"/>
        <w:jc w:val="left"/>
        <w:rPr/>
      </w:pPr>
      <w:r>
        <w:rPr/>
        <w:t xml:space="preserve">9.2 Approved exceptions are recorded in the exception register, are time-limited to a maximum of 12 months, and are re-evaluated before renewal. </w:t>
      </w:r>
      <w:r>
        <w:rPr>
          <w:color w:val="595959"/>
          <w:sz w:val="16"/>
        </w:rPr>
        <w:t>[800-53: PM-9 | 27002: 5.1]</w:t>
      </w:r>
    </w:p>
    <w:p>
      <w:pPr>
        <w:pStyle w:val="Heading2"/>
        <w:bidi w:val="0"/>
        <w:jc w:val="left"/>
        <w:rPr/>
      </w:pPr>
      <w:r>
        <w:rPr/>
        <w:t>10. Policy Review and Maintenance</w:t>
      </w:r>
    </w:p>
    <w:p>
      <w:pPr>
        <w:pStyle w:val="BodyText"/>
        <w:bidi w:val="0"/>
        <w:ind w:hanging="0" w:left="0" w:right="0"/>
        <w:jc w:val="left"/>
        <w:rPr/>
      </w:pPr>
      <w:r>
        <w:rPr/>
        <w:t xml:space="preserve">10.1 The policy owner reviews this document at least annually, and also after a significant security incident, a major change to systems or the business, a change in law or regulation, or an audit finding. </w:t>
      </w:r>
      <w:r>
        <w:rPr>
          <w:color w:val="595959"/>
          <w:sz w:val="16"/>
        </w:rPr>
        <w:t>[800-53: PL-1, PM-1 | 27002: 5.1, 5.35 | CIS: 14.1]</w:t>
      </w:r>
    </w:p>
    <w:p>
      <w:pPr>
        <w:pStyle w:val="BodyText"/>
        <w:bidi w:val="0"/>
        <w:ind w:hanging="0" w:left="0" w:right="0"/>
        <w:jc w:val="left"/>
        <w:rPr/>
      </w:pPr>
      <w:r>
        <w:rPr/>
        <w:t xml:space="preserve">10.2 Changes are approved by management, recorded in the revision history, and communicated to everyone in scope. Personnel acknowledge the current version. </w:t>
      </w:r>
      <w:r>
        <w:rPr>
          <w:color w:val="595959"/>
          <w:sz w:val="16"/>
        </w:rPr>
        <w:t>[800-53: PL-1, PL-4, PS-6 | 27002: 5.1, 6.2 | CIS: 14.1]</w:t>
      </w:r>
    </w:p>
    <w:p>
      <w:pPr>
        <w:pStyle w:val="Heading2"/>
        <w:bidi w:val="0"/>
        <w:jc w:val="left"/>
        <w:rPr/>
      </w:pPr>
      <w:r>
        <w:rPr/>
        <w:t>11. Control Mapping</w:t>
      </w:r>
    </w:p>
    <w:p>
      <w:pPr>
        <w:pStyle w:val="BodyText"/>
        <w:bidi w:val="0"/>
        <w:jc w:val="left"/>
        <w:rPr/>
      </w:pPr>
      <w:r>
        <w:rPr/>
        <w:t>Controls each section implements. NIST = NIST SP 800-53 Rev. 5; ISO = ISO/IEC 27002:2022; CIS = CIS Critical Security Controls v8.1 safeguards.</w:t>
      </w:r>
    </w:p>
    <w:tbl>
      <w:tblPr>
        <w:tblW w:w="5000" w:type="pct"/>
        <w:jc w:val="left"/>
        <w:tblInd w:w="-7" w:type="dxa"/>
        <w:tblLayout w:type="fixed"/>
        <w:tblCellMar>
          <w:top w:w="45" w:type="dxa"/>
          <w:left w:w="45" w:type="dxa"/>
          <w:bottom w:w="45" w:type="dxa"/>
          <w:right w:w="45" w:type="dxa"/>
        </w:tblCellMar>
      </w:tblPr>
      <w:tblGrid>
        <w:gridCol w:w="3174"/>
        <w:gridCol w:w="2949"/>
        <w:gridCol w:w="2494"/>
        <w:gridCol w:w="2721"/>
      </w:tblGrid>
      <w:tr>
        <w:trPr/>
        <w:tc>
          <w:tcPr>
            <w:tcW w:w="3174"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Section</w:t>
            </w:r>
          </w:p>
        </w:tc>
        <w:tc>
          <w:tcPr>
            <w:tcW w:w="2949"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NIST SP 800-53 Rev. 5</w:t>
            </w:r>
          </w:p>
        </w:tc>
        <w:tc>
          <w:tcPr>
            <w:tcW w:w="2494"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ISO/IEC 27002:2022</w:t>
            </w:r>
          </w:p>
        </w:tc>
        <w:tc>
          <w:tcPr>
            <w:tcW w:w="2721"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CIS Controls v8.1</w:t>
            </w:r>
          </w:p>
        </w:tc>
      </w:tr>
      <w:tr>
        <w:trPr/>
        <w:tc>
          <w:tcPr>
            <w:tcW w:w="31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Account Management</w:t>
            </w:r>
          </w:p>
        </w:tc>
        <w:tc>
          <w:tcPr>
            <w:tcW w:w="29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AC-2, AC-2(3), AC-3, CM-8, IA-2, IA-4, PS-4, PS-5</w:t>
            </w:r>
          </w:p>
        </w:tc>
        <w:tc>
          <w:tcPr>
            <w:tcW w:w="249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5.15, 5.16, 5.18, 6.5</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5.1, 5.3, 5.5, 6.1, 6.2, 6.8</w:t>
            </w:r>
          </w:p>
        </w:tc>
      </w:tr>
      <w:tr>
        <w:trPr/>
        <w:tc>
          <w:tcPr>
            <w:tcW w:w="31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Least Privilege and Privileged Access</w:t>
            </w:r>
          </w:p>
        </w:tc>
        <w:tc>
          <w:tcPr>
            <w:tcW w:w="29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AC-5, AC-6, AC-6(2), AC-6(5), AC-6(9), AU-6</w:t>
            </w:r>
          </w:p>
        </w:tc>
        <w:tc>
          <w:tcPr>
            <w:tcW w:w="249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5.3, 8.2, 8.3, 8.15</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5.4, 6.8, 8.2, 8.11</w:t>
            </w:r>
          </w:p>
        </w:tc>
      </w:tr>
      <w:tr>
        <w:trPr/>
        <w:tc>
          <w:tcPr>
            <w:tcW w:w="31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Authentication</w:t>
            </w:r>
          </w:p>
        </w:tc>
        <w:tc>
          <w:tcPr>
            <w:tcW w:w="29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AC-2(1), IA-2(1), IA-2(2), IA-5, IA-5(1)</w:t>
            </w:r>
          </w:p>
        </w:tc>
        <w:tc>
          <w:tcPr>
            <w:tcW w:w="249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5.16, 5.17, 8.5</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4.7, 5.2, 5.6, 6.3, 6.4, 6.5, 6.7</w:t>
            </w:r>
          </w:p>
        </w:tc>
      </w:tr>
      <w:tr>
        <w:trPr/>
        <w:tc>
          <w:tcPr>
            <w:tcW w:w="31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Access Reviews and Logging</w:t>
            </w:r>
          </w:p>
        </w:tc>
        <w:tc>
          <w:tcPr>
            <w:tcW w:w="29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AC-2, AC-2(4), AU-2</w:t>
            </w:r>
          </w:p>
        </w:tc>
        <w:tc>
          <w:tcPr>
            <w:tcW w:w="249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5.18, 8.15, 8.16</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5.1, 5.3, 8.2, 8.5</w:t>
            </w:r>
          </w:p>
        </w:tc>
      </w:tr>
      <w:tr>
        <w:trPr/>
        <w:tc>
          <w:tcPr>
            <w:tcW w:w="31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Compliance and Disciplinary Action</w:t>
            </w:r>
          </w:p>
        </w:tc>
        <w:tc>
          <w:tcPr>
            <w:tcW w:w="29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CA-2, CA-7, IR-6, PS-7, PS-8, SA-9</w:t>
            </w:r>
          </w:p>
        </w:tc>
        <w:tc>
          <w:tcPr>
            <w:tcW w:w="249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5.20, 5.36, 6.4, 6.8</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15.4, 17.3, 17.9</w:t>
            </w:r>
          </w:p>
        </w:tc>
      </w:tr>
      <w:tr>
        <w:trPr/>
        <w:tc>
          <w:tcPr>
            <w:tcW w:w="31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Exceptions</w:t>
            </w:r>
          </w:p>
        </w:tc>
        <w:tc>
          <w:tcPr>
            <w:tcW w:w="29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CA-7, PM-9</w:t>
            </w:r>
          </w:p>
        </w:tc>
        <w:tc>
          <w:tcPr>
            <w:tcW w:w="249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5.1, 5.36</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3174"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Policy Review and Maintenance</w:t>
            </w:r>
          </w:p>
        </w:tc>
        <w:tc>
          <w:tcPr>
            <w:tcW w:w="2949"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PL-1, PL-4, PM-1, PS-6</w:t>
            </w:r>
          </w:p>
        </w:tc>
        <w:tc>
          <w:tcPr>
            <w:tcW w:w="2494"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5.1, 5.35, 6.2</w:t>
            </w:r>
          </w:p>
        </w:tc>
        <w:tc>
          <w:tcPr>
            <w:tcW w:w="272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14.1</w:t>
            </w:r>
          </w:p>
        </w:tc>
      </w:tr>
    </w:tbl>
    <w:p>
      <w:pPr>
        <w:pStyle w:val="Heading2"/>
        <w:bidi w:val="0"/>
        <w:jc w:val="left"/>
        <w:rPr/>
      </w:pPr>
      <w:r>
        <w:rPr/>
        <w:t>12. Sources</w:t>
      </w:r>
    </w:p>
    <w:p>
      <w:pPr>
        <w:pStyle w:val="BodyText"/>
        <w:numPr>
          <w:ilvl w:val="0"/>
          <w:numId w:val="1"/>
        </w:numPr>
        <w:tabs>
          <w:tab w:val="clear" w:pos="1134"/>
          <w:tab w:val="left" w:pos="709" w:leader="none"/>
        </w:tabs>
        <w:bidi w:val="0"/>
        <w:spacing w:before="0" w:after="0"/>
        <w:ind w:hanging="283" w:left="709"/>
        <w:jc w:val="left"/>
        <w:rPr/>
      </w:pPr>
      <w:r>
        <w:rPr/>
        <w:t xml:space="preserve">NIST SP 800-53 Rev. 5, Security and Privacy Controls for Information Systems and Organizations </w:t>
      </w:r>
    </w:p>
    <w:p>
      <w:pPr>
        <w:pStyle w:val="BodyText"/>
        <w:numPr>
          <w:ilvl w:val="0"/>
          <w:numId w:val="1"/>
        </w:numPr>
        <w:tabs>
          <w:tab w:val="clear" w:pos="1134"/>
          <w:tab w:val="left" w:pos="709" w:leader="none"/>
        </w:tabs>
        <w:bidi w:val="0"/>
        <w:spacing w:before="0" w:after="0"/>
        <w:ind w:hanging="283" w:left="709"/>
        <w:jc w:val="left"/>
        <w:rPr/>
      </w:pPr>
      <w:r>
        <w:rPr/>
        <w:t xml:space="preserve">ISO/IEC 27002:2022, Information security, cybersecurity and privacy protection - Information security controls </w:t>
      </w:r>
    </w:p>
    <w:p>
      <w:pPr>
        <w:pStyle w:val="BodyText"/>
        <w:numPr>
          <w:ilvl w:val="0"/>
          <w:numId w:val="1"/>
        </w:numPr>
        <w:tabs>
          <w:tab w:val="clear" w:pos="1134"/>
          <w:tab w:val="left" w:pos="709" w:leader="none"/>
        </w:tabs>
        <w:bidi w:val="0"/>
        <w:spacing w:before="0" w:after="0"/>
        <w:ind w:hanging="283" w:left="709"/>
        <w:jc w:val="left"/>
        <w:rPr/>
      </w:pPr>
      <w:r>
        <w:rPr/>
        <w:t xml:space="preserve">Center for Internet Security (CIS) Critical Security Controls v8.1 </w:t>
      </w:r>
    </w:p>
    <w:p>
      <w:pPr>
        <w:pStyle w:val="BodyText"/>
        <w:numPr>
          <w:ilvl w:val="0"/>
          <w:numId w:val="1"/>
        </w:numPr>
        <w:tabs>
          <w:tab w:val="clear" w:pos="1134"/>
          <w:tab w:val="left" w:pos="709" w:leader="none"/>
        </w:tabs>
        <w:bidi w:val="0"/>
        <w:ind w:hanging="283" w:left="709"/>
        <w:jc w:val="left"/>
        <w:rPr/>
      </w:pPr>
      <w:r>
        <w:rPr/>
        <w:t xml:space="preserve">NIST SP 800-63, Digital Identity Guidelines </w:t>
      </w:r>
    </w:p>
    <w:p>
      <w:pPr>
        <w:pStyle w:val="Heading2"/>
        <w:bidi w:val="0"/>
        <w:jc w:val="left"/>
        <w:rPr/>
      </w:pPr>
      <w:r>
        <w:rPr/>
        <w:t>13. Revision History</w:t>
      </w:r>
    </w:p>
    <w:tbl>
      <w:tblPr>
        <w:tblW w:w="5000" w:type="pct"/>
        <w:jc w:val="left"/>
        <w:tblInd w:w="-7" w:type="dxa"/>
        <w:tblLayout w:type="fixed"/>
        <w:tblCellMar>
          <w:top w:w="45" w:type="dxa"/>
          <w:left w:w="45" w:type="dxa"/>
          <w:bottom w:w="45" w:type="dxa"/>
          <w:right w:w="45" w:type="dxa"/>
        </w:tblCellMar>
      </w:tblPr>
      <w:tblGrid>
        <w:gridCol w:w="1360"/>
        <w:gridCol w:w="2041"/>
        <w:gridCol w:w="2835"/>
        <w:gridCol w:w="5102"/>
      </w:tblGrid>
      <w:tr>
        <w:trPr/>
        <w:tc>
          <w:tcPr>
            <w:tcW w:w="1360"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Version</w:t>
            </w:r>
          </w:p>
        </w:tc>
        <w:tc>
          <w:tcPr>
            <w:tcW w:w="2041"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Date</w:t>
            </w:r>
          </w:p>
        </w:tc>
        <w:tc>
          <w:tcPr>
            <w:tcW w:w="2835"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Author</w:t>
            </w:r>
          </w:p>
        </w:tc>
        <w:tc>
          <w:tcPr>
            <w:tcW w:w="5102"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Change</w:t>
            </w:r>
          </w:p>
        </w:tc>
      </w:tr>
      <w:tr>
        <w:trPr/>
        <w:tc>
          <w:tcPr>
            <w:tcW w:w="1360"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1.0</w:t>
            </w:r>
          </w:p>
        </w:tc>
        <w:tc>
          <w:tcPr>
            <w:tcW w:w="204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[Date]</w:t>
            </w:r>
          </w:p>
        </w:tc>
        <w:tc>
          <w:tcPr>
            <w:tcW w:w="283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[Team #]</w:t>
            </w:r>
          </w:p>
        </w:tc>
        <w:tc>
          <w:tcPr>
            <w:tcW w:w="5102"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Initial release</w:t>
            </w:r>
          </w:p>
        </w:tc>
      </w:tr>
    </w:tbl>
    <w:p>
      <w:pPr>
        <w:pStyle w:val="BodyText"/>
        <w:bidi w:val="0"/>
        <w:spacing w:before="0" w:after="283"/>
        <w:jc w:val="left"/>
        <w:rPr/>
      </w:pPr>
      <w:r>
        <w:rPr/>
      </w:r>
    </w:p>
    <w:sectPr>
      <w:type w:val="nextPage"/>
      <w:pgSz w:w="12240" w:h="15840"/>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sans-serif"/>
    <w:charset w:val="01"/>
    <w:family w:val="auto"/>
    <w:pitch w:val="default"/>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12"/>
    </w:pPr>
    <w:rPr>
      <w:rFonts w:ascii="Arial;sans-serif" w:hAnsi="Arial;sans-serif" w:eastAsia="Arial;sans-serif" w:cs="Arial;sans-serif"/>
      <w:color w:val="auto"/>
      <w:sz w:val="21"/>
      <w:szCs w:val="21"/>
      <w:lang w:val="en-US" w:eastAsia="zh-CN" w:bidi="hi-IN"/>
    </w:rPr>
  </w:style>
  <w:style w:type="paragraph" w:styleId="Heading1">
    <w:name w:val="Heading 1"/>
    <w:basedOn w:val="Heading"/>
    <w:next w:val="BodyText"/>
    <w:qFormat/>
    <w:pPr>
      <w:spacing w:before="240" w:after="40"/>
    </w:pPr>
    <w:rPr>
      <w:rFonts w:ascii="Arial;sans-serif" w:hAnsi="Arial;sans-serif" w:eastAsia="Arial;sans-serif" w:cs="Arial;sans-serif"/>
      <w:b/>
      <w:bCs/>
      <w:color w:val="1F3864"/>
      <w:sz w:val="36"/>
      <w:szCs w:val="36"/>
    </w:rPr>
  </w:style>
  <w:style w:type="paragraph" w:styleId="Heading2">
    <w:name w:val="Heading 2"/>
    <w:basedOn w:val="Heading"/>
    <w:next w:val="BodyText"/>
    <w:qFormat/>
    <w:pPr>
      <w:pBdr>
        <w:bottom w:val="single" w:sz="2" w:space="1" w:color="1F3864"/>
      </w:pBdr>
      <w:spacing w:before="280" w:after="120"/>
      <w:outlineLvl w:val="1"/>
    </w:pPr>
    <w:rPr>
      <w:rFonts w:ascii="Arial;sans-serif" w:hAnsi="Arial;sans-serif" w:eastAsia="Arial;sans-serif" w:cs="Arial;sans-serif"/>
      <w:b/>
      <w:bCs/>
      <w:color w:val="1F3864"/>
      <w:sz w:val="25"/>
      <w:szCs w:val="25"/>
    </w:rPr>
  </w:style>
  <w:style w:type="paragraph" w:styleId="Heading3">
    <w:name w:val="Heading 3"/>
    <w:basedOn w:val="Heading"/>
    <w:next w:val="BodyText"/>
    <w:qFormat/>
    <w:pPr>
      <w:spacing w:before="160" w:after="120"/>
      <w:outlineLvl w:val="2"/>
    </w:pPr>
    <w:rPr>
      <w:rFonts w:ascii="Arial;sans-serif" w:hAnsi="Arial;sans-serif" w:eastAsia="Arial;sans-serif" w:cs="Arial;sans-serif"/>
      <w:b/>
      <w:bCs/>
      <w:color w:val="2F5496"/>
      <w:sz w:val="22"/>
      <w:szCs w:val="22"/>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986" w:leader="none"/>
        <w:tab w:val="right" w:pos="9972"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Identity and Access Management Policy</dc:title>
</cp:coreProperties>
</file>

<file path=docProps/custom.xml><?xml version="1.0" encoding="utf-8"?>
<Properties xmlns="http://schemas.openxmlformats.org/officeDocument/2006/custom-properties" xmlns:vt="http://schemas.openxmlformats.org/officeDocument/2006/docPropsVTypes"/>
</file>