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Incident Response Policy</w:t>
      </w:r>
    </w:p>
    <w:tbl>
      <w:tblPr>
        <w:tblW w:w="5000" w:type="pct"/>
        <w:jc w:val="left"/>
        <w:tblInd w:w="-7" w:type="dxa"/>
        <w:tblLayout w:type="fixed"/>
        <w:tblCellMar>
          <w:top w:w="45" w:type="dxa"/>
          <w:left w:w="45" w:type="dxa"/>
          <w:bottom w:w="45" w:type="dxa"/>
          <w:right w:w="45" w:type="dxa"/>
        </w:tblCellMar>
      </w:tblPr>
      <w:tblGrid>
        <w:gridCol w:w="2040"/>
        <w:gridCol w:w="3629"/>
        <w:gridCol w:w="2040"/>
        <w:gridCol w:w="3629"/>
      </w:tblGrid>
      <w:tr>
        <w:trPr/>
        <w:tc>
          <w:tcPr>
            <w:tcW w:w="204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Organization</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[Company name]</w:t>
            </w:r>
          </w:p>
        </w:tc>
        <w:tc>
          <w:tcPr>
            <w:tcW w:w="2040"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Document ID</w:t>
            </w:r>
          </w:p>
        </w:tc>
        <w:tc>
          <w:tcPr>
            <w:tcW w:w="3629" w:type="dxa"/>
            <w:tcBorders>
              <w:top w:val="single" w:sz="6" w:space="0" w:color="808080"/>
              <w:left w:val="single" w:sz="2" w:space="0" w:color="808080"/>
              <w:bottom w:val="single" w:sz="2" w:space="0" w:color="808080"/>
              <w:right w:val="single" w:sz="6" w:space="0" w:color="808080"/>
            </w:tcBorders>
            <w:vAlign w:val="center"/>
          </w:tcPr>
          <w:p>
            <w:pPr>
              <w:pStyle w:val="TableContents"/>
              <w:bidi w:val="0"/>
              <w:spacing w:before="0" w:after="283"/>
              <w:jc w:val="left"/>
              <w:rPr/>
            </w:pPr>
            <w:r>
              <w:rPr/>
              <w:t>POL-06</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1.0</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Effective date</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[Date]</w:t>
            </w:r>
          </w:p>
        </w:tc>
      </w:tr>
      <w:tr>
        <w:trPr/>
        <w:tc>
          <w:tcPr>
            <w:tcW w:w="2040" w:type="dxa"/>
            <w:tcBorders>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Policy owner</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Chief Information Security Officer (CISO)</w:t>
            </w:r>
          </w:p>
        </w:tc>
        <w:tc>
          <w:tcPr>
            <w:tcW w:w="2040" w:type="dxa"/>
            <w:tcBorders>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Approved by</w:t>
            </w:r>
          </w:p>
        </w:tc>
        <w:tc>
          <w:tcPr>
            <w:tcW w:w="3629"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[Name, Title]</w:t>
            </w:r>
          </w:p>
        </w:tc>
      </w:tr>
      <w:tr>
        <w:trPr/>
        <w:tc>
          <w:tcPr>
            <w:tcW w:w="2040" w:type="dxa"/>
            <w:tcBorders>
              <w:left w:val="single" w:sz="6"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Review frequency</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 least annually, and after any significant incident or change</w:t>
            </w:r>
          </w:p>
        </w:tc>
        <w:tc>
          <w:tcPr>
            <w:tcW w:w="2040" w:type="dxa"/>
            <w:tcBorders>
              <w:left w:val="single" w:sz="2" w:space="0" w:color="808080"/>
              <w:bottom w:val="single" w:sz="6" w:space="0" w:color="808080"/>
              <w:right w:val="single" w:sz="6" w:space="0" w:color="808080"/>
            </w:tcBorders>
            <w:shd w:fill="D9E2F3" w:val="clear"/>
            <w:vAlign w:val="center"/>
          </w:tcPr>
          <w:p>
            <w:pPr>
              <w:pStyle w:val="TableContents"/>
              <w:bidi w:val="0"/>
              <w:spacing w:before="0" w:after="283"/>
              <w:jc w:val="left"/>
              <w:rPr>
                <w:b/>
              </w:rPr>
            </w:pPr>
            <w:r>
              <w:rPr>
                <w:b/>
              </w:rPr>
              <w:t>Classification</w:t>
            </w:r>
          </w:p>
        </w:tc>
        <w:tc>
          <w:tcPr>
            <w:tcW w:w="3629"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Internal</w:t>
            </w:r>
          </w:p>
        </w:tc>
      </w:tr>
    </w:tbl>
    <w:p>
      <w:pPr>
        <w:pStyle w:val="Heading2"/>
        <w:bidi w:val="0"/>
        <w:jc w:val="left"/>
        <w:rPr/>
      </w:pPr>
      <w:r>
        <w:rPr/>
        <w:t>1. Purpose</w:t>
      </w:r>
    </w:p>
    <w:p>
      <w:pPr>
        <w:pStyle w:val="BodyText"/>
        <w:bidi w:val="0"/>
        <w:jc w:val="left"/>
        <w:rPr/>
      </w:pPr>
      <w:r>
        <w:rPr/>
        <w:t>This policy establishes how the Organization prepares for, detects, reports, contains, eradicates and recovers from security incidents, and how it learns from them.</w:t>
      </w:r>
    </w:p>
    <w:p>
      <w:pPr>
        <w:pStyle w:val="Heading2"/>
        <w:bidi w:val="0"/>
        <w:jc w:val="left"/>
        <w:rPr/>
      </w:pPr>
      <w:r>
        <w:rPr/>
        <w:t>2. Scope</w:t>
      </w:r>
    </w:p>
    <w:p>
      <w:pPr>
        <w:pStyle w:val="BodyText"/>
        <w:bidi w:val="0"/>
        <w:jc w:val="left"/>
        <w:rPr/>
      </w:pPr>
      <w:r>
        <w:rPr/>
        <w:t>Applies to all Organization information systems and data, and to all employees, contractors, interns, vendors and other third parties.</w:t>
      </w:r>
    </w:p>
    <w:p>
      <w:pPr>
        <w:pStyle w:val="Heading2"/>
        <w:bidi w:val="0"/>
        <w:jc w:val="left"/>
        <w:rPr/>
      </w:pPr>
      <w:r>
        <w:rPr/>
        <w:t>3. Definitions</w:t>
      </w:r>
    </w:p>
    <w:tbl>
      <w:tblPr>
        <w:tblW w:w="5000" w:type="pct"/>
        <w:jc w:val="left"/>
        <w:tblInd w:w="-7" w:type="dxa"/>
        <w:tblLayout w:type="fixed"/>
        <w:tblCellMar>
          <w:top w:w="45" w:type="dxa"/>
          <w:left w:w="45" w:type="dxa"/>
          <w:bottom w:w="45" w:type="dxa"/>
          <w:right w:w="45" w:type="dxa"/>
        </w:tblCellMar>
      </w:tblPr>
      <w:tblGrid>
        <w:gridCol w:w="2493"/>
        <w:gridCol w:w="8845"/>
      </w:tblGrid>
      <w:tr>
        <w:trPr/>
        <w:tc>
          <w:tcPr>
            <w:tcW w:w="2493"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Term</w:t>
            </w:r>
          </w:p>
        </w:tc>
        <w:tc>
          <w:tcPr>
            <w:tcW w:w="884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Definition</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Security event</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 observable occurrence in a system or network (e.g. a failed logon).</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Security incident</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 event that actually or potentially jeopardizes the confidentiality, integrity or availability of a system or data, or violates security policy.</w:t>
            </w:r>
          </w:p>
        </w:tc>
      </w:tr>
      <w:tr>
        <w:trPr/>
        <w:tc>
          <w:tcPr>
            <w:tcW w:w="249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Incident Response Team (IRT)</w:t>
            </w:r>
          </w:p>
        </w:tc>
        <w:tc>
          <w:tcPr>
            <w:tcW w:w="884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Personnel designated to handle incidents, led by the Incident Commander.</w:t>
            </w:r>
          </w:p>
        </w:tc>
      </w:tr>
      <w:tr>
        <w:trPr/>
        <w:tc>
          <w:tcPr>
            <w:tcW w:w="249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Indicator of compromise (IOC)</w:t>
            </w:r>
          </w:p>
        </w:tc>
        <w:tc>
          <w:tcPr>
            <w:tcW w:w="884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Evidence that an intrusion has occurred, e.g. a malicious IP address or file hash.</w:t>
            </w:r>
          </w:p>
        </w:tc>
      </w:tr>
    </w:tbl>
    <w:p>
      <w:pPr>
        <w:pStyle w:val="Heading2"/>
        <w:bidi w:val="0"/>
        <w:jc w:val="left"/>
        <w:rPr/>
      </w:pPr>
      <w:r>
        <w:rPr/>
        <w:t>4. Preparation</w:t>
      </w:r>
    </w:p>
    <w:p>
      <w:pPr>
        <w:pStyle w:val="BodyText"/>
        <w:bidi w:val="0"/>
        <w:ind w:hanging="0" w:left="0" w:right="0"/>
        <w:jc w:val="left"/>
        <w:rPr/>
      </w:pPr>
      <w:r>
        <w:rPr/>
        <w:t xml:space="preserve">4.1 The Organization maintains an Incident Response Plan defining roles, contact lists, severity levels, communication paths and escalation thresholds, approved by management. </w:t>
      </w:r>
      <w:r>
        <w:rPr>
          <w:color w:val="595959"/>
          <w:sz w:val="16"/>
        </w:rPr>
        <w:t>[800-53: IR-1, IR-8 | 27002: 5.24 | CIS: 17.1, 17.2, 17.4, 17.5, 17.6, 17.9]</w:t>
      </w:r>
    </w:p>
    <w:p>
      <w:pPr>
        <w:pStyle w:val="BodyText"/>
        <w:bidi w:val="0"/>
        <w:ind w:hanging="0" w:left="0" w:right="0"/>
        <w:jc w:val="left"/>
        <w:rPr/>
      </w:pPr>
      <w:r>
        <w:rPr/>
        <w:t xml:space="preserve">4.2 IRT members are trained on their roles, and the plan is exercised at least annually. </w:t>
      </w:r>
      <w:r>
        <w:rPr>
          <w:color w:val="595959"/>
          <w:sz w:val="16"/>
        </w:rPr>
        <w:t>[800-53: IR-2, IR-3 | 27002: 5.24, 6.3 | CIS: 17.7]</w:t>
      </w:r>
    </w:p>
    <w:p>
      <w:pPr>
        <w:pStyle w:val="Heading2"/>
        <w:bidi w:val="0"/>
        <w:jc w:val="left"/>
        <w:rPr/>
      </w:pPr>
      <w:r>
        <w:rPr/>
        <w:t>5. Detection and Reporting</w:t>
      </w:r>
    </w:p>
    <w:p>
      <w:pPr>
        <w:pStyle w:val="BodyText"/>
        <w:bidi w:val="0"/>
        <w:ind w:hanging="0" w:left="0" w:right="0"/>
        <w:jc w:val="left"/>
        <w:rPr/>
      </w:pPr>
      <w:r>
        <w:rPr/>
        <w:t xml:space="preserve">5.1 Systems are monitored and logs are centrally collected so incidents are detected quickly. </w:t>
      </w:r>
      <w:r>
        <w:rPr>
          <w:color w:val="595959"/>
          <w:sz w:val="16"/>
        </w:rPr>
        <w:t>[800-53: SI-4, AU-6, IR-5 | 27002: 8.15, 8.16 | CIS: 8.9, 8.11, 13.1]</w:t>
      </w:r>
    </w:p>
    <w:p>
      <w:pPr>
        <w:pStyle w:val="BodyText"/>
        <w:bidi w:val="0"/>
        <w:ind w:hanging="0" w:left="0" w:right="0"/>
        <w:jc w:val="left"/>
        <w:rPr/>
      </w:pPr>
      <w:r>
        <w:rPr/>
        <w:t xml:space="preserve">5.2 All personnel report suspected incidents immediately to the Incident Response Team. Incidents are reported to management, customers, regulators and law enforcement as required by law and contract. </w:t>
      </w:r>
      <w:r>
        <w:rPr>
          <w:color w:val="595959"/>
          <w:sz w:val="16"/>
        </w:rPr>
        <w:t>[800-53: IR-6 | 27002: 5.5, 6.8 | CIS: 17.2, 17.3]</w:t>
      </w:r>
    </w:p>
    <w:p>
      <w:pPr>
        <w:pStyle w:val="Heading2"/>
        <w:bidi w:val="0"/>
        <w:jc w:val="left"/>
        <w:rPr/>
      </w:pPr>
      <w:r>
        <w:rPr/>
        <w:t>6. Severity Levels</w:t>
      </w:r>
    </w:p>
    <w:p>
      <w:pPr>
        <w:pStyle w:val="BodyText"/>
        <w:bidi w:val="0"/>
        <w:ind w:hanging="0" w:left="0" w:right="0"/>
        <w:jc w:val="left"/>
        <w:rPr/>
      </w:pPr>
      <w:r>
        <w:rPr/>
        <w:t xml:space="preserve">6.1 Low: minimal impact, single system, no sensitive data affected. Medium: impact to multiple systems or a business service, or possible exposure of internal data. High: outage of a critical service, confirmed compromise of privileged accounts, or exposure of sensitive or personal data. Severity sets the response time and who is notified. </w:t>
      </w:r>
      <w:r>
        <w:rPr>
          <w:color w:val="595959"/>
          <w:sz w:val="16"/>
        </w:rPr>
        <w:t>[800-53: IR-4, IR-8 | 27002: 5.25 | CIS: 17.9]</w:t>
      </w:r>
    </w:p>
    <w:p>
      <w:pPr>
        <w:pStyle w:val="Heading2"/>
        <w:bidi w:val="0"/>
        <w:jc w:val="left"/>
        <w:rPr/>
      </w:pPr>
      <w:r>
        <w:rPr/>
        <w:t>7. Response</w:t>
      </w:r>
    </w:p>
    <w:p>
      <w:pPr>
        <w:pStyle w:val="BodyText"/>
        <w:bidi w:val="0"/>
        <w:ind w:hanging="0" w:left="0" w:right="0"/>
        <w:jc w:val="left"/>
        <w:rPr/>
      </w:pPr>
      <w:r>
        <w:rPr/>
        <w:t xml:space="preserve">7.1 Analyze: validate the incident, determine scope and affected systems, and record a timeline. </w:t>
      </w:r>
      <w:r>
        <w:rPr>
          <w:color w:val="595959"/>
          <w:sz w:val="16"/>
        </w:rPr>
        <w:t>[800-53: IR-4 | 27002: 5.25, 5.26 | CIS: 17.4]</w:t>
      </w:r>
    </w:p>
    <w:p>
      <w:pPr>
        <w:pStyle w:val="BodyText"/>
        <w:bidi w:val="0"/>
        <w:ind w:hanging="0" w:left="0" w:right="0"/>
        <w:jc w:val="left"/>
        <w:rPr/>
      </w:pPr>
      <w:r>
        <w:rPr/>
        <w:t xml:space="preserve">7.2 Preserve evidence before making changes: collect logs, volatile data and copies of malicious files, and maintain chain of custody. </w:t>
      </w:r>
      <w:r>
        <w:rPr>
          <w:color w:val="595959"/>
          <w:sz w:val="16"/>
        </w:rPr>
        <w:t>[800-53: IR-4, AU-9 | 27002: 5.28 | CIS: 17.4]</w:t>
      </w:r>
    </w:p>
    <w:p>
      <w:pPr>
        <w:pStyle w:val="BodyText"/>
        <w:bidi w:val="0"/>
        <w:ind w:hanging="0" w:left="0" w:right="0"/>
        <w:jc w:val="left"/>
        <w:rPr/>
      </w:pPr>
      <w:r>
        <w:rPr/>
        <w:t xml:space="preserve">7.3 Contain: isolate affected systems or accounts, block malicious addresses, and reset compromised credentials, while keeping critical business services available where possible. </w:t>
      </w:r>
      <w:r>
        <w:rPr>
          <w:color w:val="595959"/>
          <w:sz w:val="16"/>
        </w:rPr>
        <w:t>[800-53: IR-4 | 27002: 5.26 | CIS: 17.4]</w:t>
      </w:r>
    </w:p>
    <w:p>
      <w:pPr>
        <w:pStyle w:val="BodyText"/>
        <w:bidi w:val="0"/>
        <w:ind w:hanging="0" w:left="0" w:right="0"/>
        <w:jc w:val="left"/>
        <w:rPr/>
      </w:pPr>
      <w:r>
        <w:rPr/>
        <w:t xml:space="preserve">7.4 Eradicate and recover: remove malware and persistence, patch the exploited weakness, restore from known-good backups, and monitor closely for recurrence. </w:t>
      </w:r>
      <w:r>
        <w:rPr>
          <w:color w:val="595959"/>
          <w:sz w:val="16"/>
        </w:rPr>
        <w:t>[800-53: IR-4, CP-10 | 27002: 5.26, 5.29 | CIS: 11.5, 17.4]</w:t>
      </w:r>
    </w:p>
    <w:p>
      <w:pPr>
        <w:pStyle w:val="Heading2"/>
        <w:bidi w:val="0"/>
        <w:jc w:val="left"/>
        <w:rPr/>
      </w:pPr>
      <w:r>
        <w:rPr/>
        <w:t>8. Post-Incident Activity</w:t>
      </w:r>
    </w:p>
    <w:p>
      <w:pPr>
        <w:pStyle w:val="BodyText"/>
        <w:bidi w:val="0"/>
        <w:ind w:hanging="0" w:left="0" w:right="0"/>
        <w:jc w:val="left"/>
        <w:rPr/>
      </w:pPr>
      <w:r>
        <w:rPr/>
        <w:t xml:space="preserve">8.1 Within 2 weeks of closing a Medium or High incident, the IRT holds a lessons-learned review and tracks corrective actions to completion. </w:t>
      </w:r>
      <w:r>
        <w:rPr>
          <w:color w:val="595959"/>
          <w:sz w:val="16"/>
        </w:rPr>
        <w:t>[800-53: IR-4, IR-8 | 27002: 5.27 | CIS: 17.8]</w:t>
      </w:r>
    </w:p>
    <w:p>
      <w:pPr>
        <w:pStyle w:val="BodyText"/>
        <w:bidi w:val="0"/>
        <w:ind w:hanging="0" w:left="0" w:right="0"/>
        <w:jc w:val="left"/>
        <w:rPr/>
      </w:pPr>
      <w:r>
        <w:rPr/>
        <w:t xml:space="preserve">8.2 Incident records are retained according to the Data Retention Policy. </w:t>
      </w:r>
      <w:r>
        <w:rPr>
          <w:color w:val="595959"/>
          <w:sz w:val="16"/>
        </w:rPr>
        <w:t>[800-53: IR-5, AU-11 | 27002: 5.28, 5.33 | CIS: 17.4]</w:t>
      </w:r>
    </w:p>
    <w:p>
      <w:pPr>
        <w:pStyle w:val="Heading2"/>
        <w:bidi w:val="0"/>
        <w:jc w:val="left"/>
        <w:rPr/>
      </w:pPr>
      <w:r>
        <w:rPr/>
        <w:t>9. Compliance and Disciplinary Action</w:t>
      </w:r>
    </w:p>
    <w:p>
      <w:pPr>
        <w:pStyle w:val="BodyText"/>
        <w:bidi w:val="0"/>
        <w:ind w:hanging="0" w:left="0" w:right="0"/>
        <w:jc w:val="left"/>
        <w:rPr/>
      </w:pPr>
      <w:r>
        <w:rPr/>
        <w:t xml:space="preserve">9.1 Compliance with this document is mandatory for everyone in scope. Compliance is verified through technical monitoring, audits and management review. </w:t>
      </w:r>
      <w:r>
        <w:rPr>
          <w:color w:val="595959"/>
          <w:sz w:val="16"/>
        </w:rPr>
        <w:t>[800-53: CA-2, CA-7 | 27002: 5.36 | CIS: 17.9]</w:t>
      </w:r>
    </w:p>
    <w:p>
      <w:pPr>
        <w:pStyle w:val="BodyText"/>
        <w:bidi w:val="0"/>
        <w:ind w:hanging="0" w:left="0" w:right="0"/>
        <w:jc w:val="left"/>
        <w:rPr/>
      </w:pPr>
      <w:r>
        <w:rPr/>
        <w:t xml:space="preserve">9.2 Violations are handled through the Organization's formal disciplinary process, in proportion to the severity and intent of the violation: verbal or written warning, mandatory retraining, suspension or removal of access rights, and termination of employment or contract. Violations involving illegal activity are referred to law enforcement. </w:t>
      </w:r>
      <w:r>
        <w:rPr>
          <w:color w:val="595959"/>
          <w:sz w:val="16"/>
        </w:rPr>
        <w:t>[800-53: PS-8 | 27002: 6.4]</w:t>
      </w:r>
    </w:p>
    <w:p>
      <w:pPr>
        <w:pStyle w:val="BodyText"/>
        <w:bidi w:val="0"/>
        <w:ind w:hanging="0" w:left="0" w:right="0"/>
        <w:jc w:val="left"/>
        <w:rPr/>
      </w:pPr>
      <w:r>
        <w:rPr/>
        <w:t xml:space="preserve">9.3 Contractors, vendors and other third parties who violate this document may have their access revoked and their contract terminated, and may be held liable for resulting damages. </w:t>
      </w:r>
      <w:r>
        <w:rPr>
          <w:color w:val="595959"/>
          <w:sz w:val="16"/>
        </w:rPr>
        <w:t>[800-53: PS-7, SA-9 | 27002: 5.20 | CIS: 15.4]</w:t>
      </w:r>
    </w:p>
    <w:p>
      <w:pPr>
        <w:pStyle w:val="BodyText"/>
        <w:bidi w:val="0"/>
        <w:ind w:hanging="0" w:left="0" w:right="0"/>
        <w:jc w:val="left"/>
        <w:rPr/>
      </w:pPr>
      <w:r>
        <w:rPr/>
        <w:t xml:space="preserve">9.4 Personnel must report suspected violations to their manager or the Information Security team. Reports made in good faith are protected from retaliation. </w:t>
      </w:r>
      <w:r>
        <w:rPr>
          <w:color w:val="595959"/>
          <w:sz w:val="16"/>
        </w:rPr>
        <w:t>[800-53: IR-6 | 27002: 6.8 | CIS: 17.3]</w:t>
      </w:r>
    </w:p>
    <w:p>
      <w:pPr>
        <w:pStyle w:val="Heading2"/>
        <w:bidi w:val="0"/>
        <w:jc w:val="left"/>
        <w:rPr/>
      </w:pPr>
      <w:r>
        <w:rPr/>
        <w:t>10. Exceptions</w:t>
      </w:r>
    </w:p>
    <w:p>
      <w:pPr>
        <w:pStyle w:val="BodyText"/>
        <w:bidi w:val="0"/>
        <w:ind w:hanging="0" w:left="0" w:right="0"/>
        <w:jc w:val="left"/>
        <w:rPr/>
      </w:pPr>
      <w:r>
        <w:rPr/>
        <w:t xml:space="preserve">10.1 Any exception must be requested in writing, state the business justification, the risk and the compensating controls, and be approved by the CISO (and the system or data owner) before it takes effect. </w:t>
      </w:r>
      <w:r>
        <w:rPr>
          <w:color w:val="595959"/>
          <w:sz w:val="16"/>
        </w:rPr>
        <w:t>[800-53: PM-9, CA-7 | 27002: 5.1, 5.36]</w:t>
      </w:r>
    </w:p>
    <w:p>
      <w:pPr>
        <w:pStyle w:val="BodyText"/>
        <w:bidi w:val="0"/>
        <w:ind w:hanging="0" w:left="0" w:right="0"/>
        <w:jc w:val="left"/>
        <w:rPr/>
      </w:pPr>
      <w:r>
        <w:rPr/>
        <w:t xml:space="preserve">10.2 Approved exceptions are recorded in the exception register, are time-limited to a maximum of 12 months, and are re-evaluated before renewal. </w:t>
      </w:r>
      <w:r>
        <w:rPr>
          <w:color w:val="595959"/>
          <w:sz w:val="16"/>
        </w:rPr>
        <w:t>[800-53: PM-9 | 27002: 5.1]</w:t>
      </w:r>
    </w:p>
    <w:p>
      <w:pPr>
        <w:pStyle w:val="Heading2"/>
        <w:bidi w:val="0"/>
        <w:jc w:val="left"/>
        <w:rPr/>
      </w:pPr>
      <w:r>
        <w:rPr/>
        <w:t>11. Policy Review and Maintenance</w:t>
      </w:r>
    </w:p>
    <w:p>
      <w:pPr>
        <w:pStyle w:val="BodyText"/>
        <w:bidi w:val="0"/>
        <w:ind w:hanging="0" w:left="0" w:right="0"/>
        <w:jc w:val="left"/>
        <w:rPr/>
      </w:pPr>
      <w:r>
        <w:rPr/>
        <w:t xml:space="preserve">11.1 The policy owner reviews this document at least annually, and also after a significant security incident, a major change to systems or the business, a change in law or regulation, or an audit finding. </w:t>
      </w:r>
      <w:r>
        <w:rPr>
          <w:color w:val="595959"/>
          <w:sz w:val="16"/>
        </w:rPr>
        <w:t>[800-53: PL-1, PM-1 | 27002: 5.1, 5.35 | CIS: 14.1]</w:t>
      </w:r>
    </w:p>
    <w:p>
      <w:pPr>
        <w:pStyle w:val="BodyText"/>
        <w:bidi w:val="0"/>
        <w:ind w:hanging="0" w:left="0" w:right="0"/>
        <w:jc w:val="left"/>
        <w:rPr/>
      </w:pPr>
      <w:r>
        <w:rPr/>
        <w:t xml:space="preserve">11.2 Changes are approved by management, recorded in the revision history, and communicated to everyone in scope. Personnel acknowledge the current version. </w:t>
      </w:r>
      <w:r>
        <w:rPr>
          <w:color w:val="595959"/>
          <w:sz w:val="16"/>
        </w:rPr>
        <w:t>[800-53: PL-1, PL-4, PS-6 | 27002: 5.1, 6.2 | CIS: 14.1]</w:t>
      </w:r>
    </w:p>
    <w:p>
      <w:pPr>
        <w:pStyle w:val="Heading2"/>
        <w:bidi w:val="0"/>
        <w:jc w:val="left"/>
        <w:rPr/>
      </w:pPr>
      <w:r>
        <w:rPr/>
        <w:t>12. Control Mapping</w:t>
      </w:r>
    </w:p>
    <w:p>
      <w:pPr>
        <w:pStyle w:val="BodyText"/>
        <w:bidi w:val="0"/>
        <w:jc w:val="left"/>
        <w:rPr/>
      </w:pPr>
      <w:r>
        <w:rPr/>
        <w:t>Controls each section implements. NIST = NIST SP 800-53 Rev. 5; ISO = ISO/IEC 27002:2022; CIS = CIS Critical Security Controls v8.1 safeguards.</w:t>
      </w:r>
    </w:p>
    <w:tbl>
      <w:tblPr>
        <w:tblW w:w="5000" w:type="pct"/>
        <w:jc w:val="left"/>
        <w:tblInd w:w="-7" w:type="dxa"/>
        <w:tblLayout w:type="fixed"/>
        <w:tblCellMar>
          <w:top w:w="45" w:type="dxa"/>
          <w:left w:w="45" w:type="dxa"/>
          <w:bottom w:w="45" w:type="dxa"/>
          <w:right w:w="45" w:type="dxa"/>
        </w:tblCellMar>
      </w:tblPr>
      <w:tblGrid>
        <w:gridCol w:w="3174"/>
        <w:gridCol w:w="2947"/>
        <w:gridCol w:w="2495"/>
        <w:gridCol w:w="2722"/>
      </w:tblGrid>
      <w:tr>
        <w:trPr/>
        <w:tc>
          <w:tcPr>
            <w:tcW w:w="3174"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Section</w:t>
            </w:r>
          </w:p>
        </w:tc>
        <w:tc>
          <w:tcPr>
            <w:tcW w:w="2947"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NIST SP 800-53 Rev. 5</w:t>
            </w:r>
          </w:p>
        </w:tc>
        <w:tc>
          <w:tcPr>
            <w:tcW w:w="249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ISO/IEC 27002:2022</w:t>
            </w:r>
          </w:p>
        </w:tc>
        <w:tc>
          <w:tcPr>
            <w:tcW w:w="272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CIS Controls v8.1</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Preparation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IR-1, IR-2, IR-3, IR-8</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5.24, 6.3</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17.1, 17.2, 17.4, 17.5, 17.6, 17.7, 17.9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Detection and Reporting</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AU-6, IR-5, IR-6, SI-4</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5.5, 6.8, 8.15, 8.16</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8.9, 8.11, 13.1, 17.2, 17.3</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Severity Levels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IR-4, IR-8</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5.25</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Response</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AU-9, CP-10, IR-4</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5.25, 5.26, 5.28, 5.29</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11.5, 17.4</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Post-Incident Activity</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AU-11, IR-4, IR-5, IR-8</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5.27, 5.28, 5.33</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17.4, 17.8</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Compliance and Disciplinary Action</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CA-2, CA-7, IR-6, PS-7, PS-8, SA-9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5.20, 5.36, 6.4, 6.8</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15.4, 17.3, 17.9</w:t>
            </w:r>
          </w:p>
        </w:tc>
      </w:tr>
      <w:tr>
        <w:trPr/>
        <w:tc>
          <w:tcPr>
            <w:tcW w:w="317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Exceptions</w:t>
            </w:r>
          </w:p>
        </w:tc>
        <w:tc>
          <w:tcPr>
            <w:tcW w:w="2947"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CA-7, PM-9</w:t>
            </w:r>
          </w:p>
        </w:tc>
        <w:tc>
          <w:tcPr>
            <w:tcW w:w="249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5.1, 5.36</w:t>
            </w:r>
          </w:p>
        </w:tc>
        <w:tc>
          <w:tcPr>
            <w:tcW w:w="2722"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sz w:val="4"/>
                <w:szCs w:val="4"/>
              </w:rPr>
            </w:pPr>
            <w:r>
              <w:rPr>
                <w:sz w:val="4"/>
                <w:szCs w:val="4"/>
              </w:rPr>
            </w:r>
          </w:p>
        </w:tc>
      </w:tr>
      <w:tr>
        <w:trPr/>
        <w:tc>
          <w:tcPr>
            <w:tcW w:w="317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Policy Review and Maintenance</w:t>
            </w:r>
          </w:p>
        </w:tc>
        <w:tc>
          <w:tcPr>
            <w:tcW w:w="2947"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PL-1, PL-4, PM-1, PS-6</w:t>
            </w:r>
          </w:p>
        </w:tc>
        <w:tc>
          <w:tcPr>
            <w:tcW w:w="249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5.1, 5.35, 6.2</w:t>
            </w:r>
          </w:p>
        </w:tc>
        <w:tc>
          <w:tcPr>
            <w:tcW w:w="272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14.1</w:t>
            </w:r>
          </w:p>
        </w:tc>
      </w:tr>
    </w:tbl>
    <w:p>
      <w:pPr>
        <w:pStyle w:val="Heading2"/>
        <w:bidi w:val="0"/>
        <w:jc w:val="left"/>
        <w:rPr/>
      </w:pPr>
      <w:r>
        <w:rPr/>
        <w:t>13. Sources</w:t>
      </w:r>
    </w:p>
    <w:p>
      <w:pPr>
        <w:pStyle w:val="BodyText"/>
        <w:numPr>
          <w:ilvl w:val="0"/>
          <w:numId w:val="1"/>
        </w:numPr>
        <w:tabs>
          <w:tab w:val="clear" w:pos="1134"/>
          <w:tab w:val="left" w:pos="709" w:leader="none"/>
        </w:tabs>
        <w:bidi w:val="0"/>
        <w:spacing w:before="0" w:after="0"/>
        <w:ind w:hanging="283" w:left="709"/>
        <w:jc w:val="left"/>
        <w:rPr/>
      </w:pPr>
      <w:r>
        <w:rPr/>
        <w:t xml:space="preserve">NIST SP 800-53 Rev. 5, Security and Privacy Controls for Information Systems and Organizations </w:t>
      </w:r>
    </w:p>
    <w:p>
      <w:pPr>
        <w:pStyle w:val="BodyText"/>
        <w:numPr>
          <w:ilvl w:val="0"/>
          <w:numId w:val="1"/>
        </w:numPr>
        <w:tabs>
          <w:tab w:val="clear" w:pos="1134"/>
          <w:tab w:val="left" w:pos="709" w:leader="none"/>
        </w:tabs>
        <w:bidi w:val="0"/>
        <w:spacing w:before="0" w:after="0"/>
        <w:ind w:hanging="283" w:left="709"/>
        <w:jc w:val="left"/>
        <w:rPr/>
      </w:pPr>
      <w:r>
        <w:rPr/>
        <w:t xml:space="preserve">ISO/IEC 27002:2022, Information security, cybersecurity and privacy protection - Information security controls </w:t>
      </w:r>
    </w:p>
    <w:p>
      <w:pPr>
        <w:pStyle w:val="BodyText"/>
        <w:numPr>
          <w:ilvl w:val="0"/>
          <w:numId w:val="1"/>
        </w:numPr>
        <w:tabs>
          <w:tab w:val="clear" w:pos="1134"/>
          <w:tab w:val="left" w:pos="709" w:leader="none"/>
        </w:tabs>
        <w:bidi w:val="0"/>
        <w:spacing w:before="0" w:after="0"/>
        <w:ind w:hanging="283" w:left="709"/>
        <w:jc w:val="left"/>
        <w:rPr/>
      </w:pPr>
      <w:r>
        <w:rPr/>
        <w:t xml:space="preserve">Center for Internet Security (CIS) Critical Security Controls v8.1 </w:t>
      </w:r>
    </w:p>
    <w:p>
      <w:pPr>
        <w:pStyle w:val="BodyText"/>
        <w:numPr>
          <w:ilvl w:val="0"/>
          <w:numId w:val="1"/>
        </w:numPr>
        <w:tabs>
          <w:tab w:val="clear" w:pos="1134"/>
          <w:tab w:val="left" w:pos="709" w:leader="none"/>
        </w:tabs>
        <w:bidi w:val="0"/>
        <w:ind w:hanging="283" w:left="709"/>
        <w:jc w:val="left"/>
        <w:rPr/>
      </w:pPr>
      <w:r>
        <w:rPr/>
        <w:t xml:space="preserve">NIST SP 800-61 Rev. 3, Incident Response Recommendations and Considerations for Cybersecurity Risk Management </w:t>
      </w:r>
    </w:p>
    <w:p>
      <w:pPr>
        <w:pStyle w:val="Heading2"/>
        <w:bidi w:val="0"/>
        <w:jc w:val="left"/>
        <w:rPr/>
      </w:pPr>
      <w:r>
        <w:rPr/>
        <w:t>14. Revision History</w:t>
      </w:r>
    </w:p>
    <w:tbl>
      <w:tblPr>
        <w:tblW w:w="5000" w:type="pct"/>
        <w:jc w:val="left"/>
        <w:tblInd w:w="-7" w:type="dxa"/>
        <w:tblLayout w:type="fixed"/>
        <w:tblCellMar>
          <w:top w:w="45" w:type="dxa"/>
          <w:left w:w="45" w:type="dxa"/>
          <w:bottom w:w="45" w:type="dxa"/>
          <w:right w:w="45" w:type="dxa"/>
        </w:tblCellMar>
      </w:tblPr>
      <w:tblGrid>
        <w:gridCol w:w="1360"/>
        <w:gridCol w:w="2041"/>
        <w:gridCol w:w="2835"/>
        <w:gridCol w:w="5102"/>
      </w:tblGrid>
      <w:tr>
        <w:trPr/>
        <w:tc>
          <w:tcPr>
            <w:tcW w:w="1360" w:type="dxa"/>
            <w:tcBorders>
              <w:top w:val="single" w:sz="6" w:space="0" w:color="808080"/>
              <w:left w:val="single" w:sz="6"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Version</w:t>
            </w:r>
          </w:p>
        </w:tc>
        <w:tc>
          <w:tcPr>
            <w:tcW w:w="2041"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Date</w:t>
            </w:r>
          </w:p>
        </w:tc>
        <w:tc>
          <w:tcPr>
            <w:tcW w:w="2835"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Author</w:t>
            </w:r>
          </w:p>
        </w:tc>
        <w:tc>
          <w:tcPr>
            <w:tcW w:w="5102" w:type="dxa"/>
            <w:tcBorders>
              <w:top w:val="single" w:sz="6" w:space="0" w:color="808080"/>
              <w:left w:val="single" w:sz="2" w:space="0" w:color="808080"/>
              <w:bottom w:val="single" w:sz="2" w:space="0" w:color="808080"/>
              <w:right w:val="single" w:sz="6" w:space="0" w:color="808080"/>
            </w:tcBorders>
            <w:shd w:fill="D9E2F3" w:val="clear"/>
            <w:vAlign w:val="center"/>
          </w:tcPr>
          <w:p>
            <w:pPr>
              <w:pStyle w:val="TableContents"/>
              <w:bidi w:val="0"/>
              <w:spacing w:before="0" w:after="283"/>
              <w:jc w:val="left"/>
              <w:rPr>
                <w:b/>
              </w:rPr>
            </w:pPr>
            <w:r>
              <w:rPr>
                <w:b/>
              </w:rPr>
              <w:t>Change</w:t>
            </w:r>
          </w:p>
        </w:tc>
      </w:tr>
      <w:tr>
        <w:trPr/>
        <w:tc>
          <w:tcPr>
            <w:tcW w:w="1360"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1.0</w:t>
            </w:r>
          </w:p>
        </w:tc>
        <w:tc>
          <w:tcPr>
            <w:tcW w:w="2041"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[Date]</w:t>
            </w:r>
          </w:p>
        </w:tc>
        <w:tc>
          <w:tcPr>
            <w:tcW w:w="283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[Team #]</w:t>
            </w:r>
          </w:p>
        </w:tc>
        <w:tc>
          <w:tcPr>
            <w:tcW w:w="5102"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Initial release</w:t>
            </w:r>
          </w:p>
        </w:tc>
      </w:tr>
    </w:tbl>
    <w:p>
      <w:pPr>
        <w:pStyle w:val="BodyText"/>
        <w:bidi w:val="0"/>
        <w:spacing w:before="0" w:after="283"/>
        <w:jc w:val="left"/>
        <w:rPr/>
      </w:pPr>
      <w:r>
        <w:rPr/>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40"/>
    </w:pPr>
    <w:rPr>
      <w:rFonts w:ascii="Arial;sans-serif" w:hAnsi="Arial;sans-serif" w:eastAsia="Arial;sans-serif" w:cs="Arial;sans-serif"/>
      <w:b/>
      <w:bCs/>
      <w:color w:val="1F3864"/>
      <w:sz w:val="36"/>
      <w:szCs w:val="36"/>
    </w:rPr>
  </w:style>
  <w:style w:type="paragraph" w:styleId="Heading2">
    <w:name w:val="Heading 2"/>
    <w:basedOn w:val="Heading"/>
    <w:next w:val="BodyText"/>
    <w:qFormat/>
    <w:pPr>
      <w:pBdr>
        <w:bottom w:val="single" w:sz="2" w:space="1" w:color="1F3864"/>
      </w:pBdr>
      <w:spacing w:before="280" w:after="120"/>
      <w:outlineLvl w:val="1"/>
    </w:pPr>
    <w:rPr>
      <w:rFonts w:ascii="Arial;sans-serif" w:hAnsi="Arial;sans-serif" w:eastAsia="Arial;sans-serif" w:cs="Arial;sans-serif"/>
      <w:b/>
      <w:bCs/>
      <w:color w:val="1F3864"/>
      <w:sz w:val="25"/>
      <w:szCs w:val="25"/>
    </w:rPr>
  </w:style>
  <w:style w:type="paragraph" w:styleId="Heading3">
    <w:name w:val="Heading 3"/>
    <w:basedOn w:val="Heading"/>
    <w:next w:val="BodyText"/>
    <w:qFormat/>
    <w:pPr>
      <w:spacing w:before="160" w:after="120"/>
      <w:outlineLvl w:val="2"/>
    </w:pPr>
    <w:rPr>
      <w:rFonts w:ascii="Arial;sans-serif" w:hAnsi="Arial;sans-serif" w:eastAsia="Arial;sans-serif" w:cs="Arial;sans-serif"/>
      <w:b/>
      <w:bCs/>
      <w:color w:val="2F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Incident Response Policy</dc:title>
</cp:coreProperties>
</file>

<file path=docProps/custom.xml><?xml version="1.0" encoding="utf-8"?>
<Properties xmlns="http://schemas.openxmlformats.org/officeDocument/2006/custom-properties" xmlns:vt="http://schemas.openxmlformats.org/officeDocument/2006/docPropsVTypes"/>
</file>