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Security Staff Interview Checklist</w:t>
      </w:r>
    </w:p>
    <w:p>
      <w:pPr>
        <w:pStyle w:val="BodyTextsub"/>
        <w:bidi w:val="0"/>
        <w:jc w:val="left"/>
        <w:rPr/>
      </w:pPr>
      <w:r>
        <w:rPr/>
        <w:t>Topics, attributes and questions for interviewing IT / security candidates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40"/>
        <w:gridCol w:w="3629"/>
        <w:gridCol w:w="2041"/>
        <w:gridCol w:w="3628"/>
      </w:tblGrid>
      <w:tr>
        <w:trPr/>
        <w:tc>
          <w:tcPr>
            <w:tcW w:w="20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Organization</w:t>
            </w:r>
          </w:p>
        </w:tc>
        <w:tc>
          <w:tcPr>
            <w:tcW w:w="36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[Company name]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Document ID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HR-01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Effective date</w:t>
            </w:r>
          </w:p>
        </w:tc>
        <w:tc>
          <w:tcPr>
            <w:tcW w:w="36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[Date]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Policy owner</w:t>
            </w:r>
          </w:p>
        </w:tc>
        <w:tc>
          <w:tcPr>
            <w:tcW w:w="3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Hiring Manager, with Human Resources and the CISO</w:t>
            </w:r>
          </w:p>
        </w:tc>
        <w:tc>
          <w:tcPr>
            <w:tcW w:w="2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36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[Name, Title]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Review frequency</w:t>
            </w:r>
          </w:p>
        </w:tc>
        <w:tc>
          <w:tcPr>
            <w:tcW w:w="36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annually, and after any significant incident or change</w:t>
            </w:r>
          </w:p>
        </w:tc>
        <w:tc>
          <w:tcPr>
            <w:tcW w:w="2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Classification</w:t>
            </w:r>
          </w:p>
        </w:tc>
        <w:tc>
          <w:tcPr>
            <w:tcW w:w="36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This checklist makes interviews for IT and security positions consistent, fair, legally compliant and focused on the attributes that matter for roles with privileged access to Organization systems.</w:t>
      </w:r>
    </w:p>
    <w:p>
      <w:pPr>
        <w:pStyle w:val="Heading2"/>
        <w:bidi w:val="0"/>
        <w:jc w:val="left"/>
        <w:rPr/>
      </w:pPr>
      <w:r>
        <w:rPr/>
        <w:t>2. Scope</w:t>
      </w:r>
    </w:p>
    <w:p>
      <w:pPr>
        <w:pStyle w:val="BodyText"/>
        <w:bidi w:val="0"/>
        <w:jc w:val="left"/>
        <w:rPr/>
      </w:pPr>
      <w:r>
        <w:rPr/>
        <w:t>Applies to every interview for positions with administrative, security or privileged access (system administrators, network engineers, security analysts, incident responders, IT managers).</w:t>
      </w:r>
    </w:p>
    <w:p>
      <w:pPr>
        <w:pStyle w:val="Heading2"/>
        <w:bidi w:val="0"/>
        <w:jc w:val="left"/>
        <w:rPr/>
      </w:pPr>
      <w:r>
        <w:rPr/>
        <w:t>3. Definitions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494"/>
        <w:gridCol w:w="8844"/>
      </w:tblGrid>
      <w:tr>
        <w:trPr/>
        <w:tc>
          <w:tcPr>
            <w:tcW w:w="24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88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>
        <w:trPr/>
        <w:tc>
          <w:tcPr>
            <w:tcW w:w="24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Position risk designation</w:t>
            </w:r>
          </w:p>
        </w:tc>
        <w:tc>
          <w:tcPr>
            <w:tcW w:w="88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Rating of a position's potential to harm the Organization, which sets the level of screening required.</w:t>
            </w:r>
          </w:p>
        </w:tc>
      </w:tr>
      <w:tr>
        <w:trPr/>
        <w:tc>
          <w:tcPr>
            <w:tcW w:w="24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Screening</w:t>
            </w:r>
          </w:p>
        </w:tc>
        <w:tc>
          <w:tcPr>
            <w:tcW w:w="88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Background, reference, education and certification checks performed with the candidate's written consent.</w:t>
            </w:r>
          </w:p>
        </w:tc>
      </w:tr>
      <w:tr>
        <w:trPr/>
        <w:tc>
          <w:tcPr>
            <w:tcW w:w="24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Structured interview</w:t>
            </w:r>
          </w:p>
        </w:tc>
        <w:tc>
          <w:tcPr>
            <w:tcW w:w="88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candidate for the same role gets the same core questions and is scored with the same rubric.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Before the Interview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4.1 Confirm the position description and its risk designation; privileged roles require enhanced screening. </w:t>
      </w:r>
      <w:r>
        <w:rPr>
          <w:color w:val="595959"/>
          <w:sz w:val="16"/>
        </w:rPr>
        <w:t>[800-53: PS-2, PS-9 | 27002: 6.1]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4.2 Use a panel of at least two interviewers, including someone from Information Security for security roles, and agree the questions and scoring rubric in advance. </w:t>
      </w:r>
      <w:r>
        <w:rPr>
          <w:color w:val="595959"/>
          <w:sz w:val="16"/>
        </w:rPr>
        <w:t>[800-53: PS-3 | 27002: 6.1 | CIS: 14.9]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4.3 Share no internal network details, credentials or confidential information with candidates. </w:t>
      </w:r>
      <w:r>
        <w:rPr>
          <w:color w:val="595959"/>
          <w:sz w:val="16"/>
        </w:rPr>
        <w:t>[800-53: PS-6 | 27002: 5.12, 6.6]</w:t>
      </w:r>
    </w:p>
    <w:p>
      <w:pPr>
        <w:pStyle w:val="Heading2"/>
        <w:bidi w:val="0"/>
        <w:jc w:val="left"/>
        <w:rPr/>
      </w:pPr>
      <w:r>
        <w:rPr/>
        <w:t>5. Attributes to Evaluate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40"/>
        <w:gridCol w:w="5216"/>
        <w:gridCol w:w="4082"/>
      </w:tblGrid>
      <w:tr>
        <w:trPr/>
        <w:tc>
          <w:tcPr>
            <w:tcW w:w="20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What good looks like</w:t>
            </w:r>
          </w:p>
        </w:tc>
        <w:tc>
          <w:tcPr>
            <w:tcW w:w="40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Red flags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Integrity and ethics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Admits what they don't know; respects authorization and confidentiality; clear on legal and ethical limits of security work.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Brags about unauthorized hacking; would bypass controls for convenience; shares former employer's confidential details.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mindset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Thinks about how things fail and are abused; considers least privilege, logging and backups by default.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Treats security as someone else's job; 'disable the firewall to fix it'.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Technical fundamentals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Solid networking (TCP/IP, DNS, ports), Linux and Windows administration, logs.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Buzzwords without being able to explain basics.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Troubleshooting under pressure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Methodical: gathers facts, forms a hypothesis, tests, verifies, keeps notes; stays calm.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Random changes without verifying; blames others.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Communication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Explains technical issues clearly to non-technical people; writes clear, short reports.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Cannot adjust to the audience; disorganized explanations.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Teamwork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Shares information, asks for help, hands over work cleanly, accepts feedback.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Works alone, hoards knowledge, dismissive of others.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Attention to detail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Double-checks changes, follows procedures and change control, documents work.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Skips steps, no documentation habit.</w:t>
            </w:r>
          </w:p>
        </w:tc>
      </w:tr>
      <w:tr>
        <w:trPr/>
        <w:tc>
          <w:tcPr>
            <w:tcW w:w="20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Continuous learning</w:t>
            </w:r>
          </w:p>
        </w:tc>
        <w:tc>
          <w:tcPr>
            <w:tcW w:w="52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Specific recent examples: labs, CTFs, certifications, home lab, reading.</w:t>
            </w:r>
          </w:p>
        </w:tc>
        <w:tc>
          <w:tcPr>
            <w:tcW w:w="40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recent learning; outdated knowledge.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Topics and Questions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87"/>
        <w:gridCol w:w="4875"/>
        <w:gridCol w:w="4876"/>
      </w:tblGrid>
      <w:tr>
        <w:trPr/>
        <w:tc>
          <w:tcPr>
            <w:tcW w:w="15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48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48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 strong answer includes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Networking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customer says our website is down. Walk me through how you'd find out why.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 DNS resolution, reachability, port open, firewall/NAT, service status and logs; works layer by layer; verifies the fix.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Networking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Which ports and protocols do DNS, SMTP, HTTPS and SSH use?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DNS 53 UDP/TCP, SMTP 25 (587 submission), HTTPS 443 TCP, SSH 22 TCP.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Linux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do you see what is listening on a Linux server and which program owns it?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ss -tulpn (or netstat), lsof -i; checks the owning process and whether it's expected.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Windows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would you look for an attacker's persistence on a Windows server?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Services, scheduled tasks, Run keys, startup folders, WMI subscriptions, new admin accounts; event IDs 4720, 4732, 7045, 4698.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Incident response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find an unknown process making outbound connections from a server. What do you do?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Preserve evidence (process, connections, hashes, logs) before acting, contain (isolate/block), report, then eradicate and recover; follows the IR plan.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Access control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Explain least privilege and how you would apply it to a new web server.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Separate service account, no admin rights for the app, restricted file permissions, admin via named accounts with MFA.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Passwords and MFA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makes a strong password policy?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Length over complexity, breached-password checks, no reuse, MFA, protected storage (hashing), change on compromise.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management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Your firewall change just broke a customer-facing service. What now?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 back first to restore service, communicate, then analyze, test the corrected change, document it.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Communication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Explain ransomware to a non-technical manager in two minutes.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Plain language, business impact, prevention (backups, patching, awareness), what employees should do.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Ethics scenario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manager asks you to give them a colleague's password to 'finish urgent work'. What do you do?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Declines, explains policy, offers a proper alternative (manager-approved access or a password reset by the owner), reports if pressured.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Behavioral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Tell me about a mistake you made on a system and how you handled it.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Takes ownership, reported it promptly, fixed it, and changed the process to prevent a repeat.</w:t>
            </w:r>
          </w:p>
        </w:tc>
      </w:tr>
      <w:tr>
        <w:trPr/>
        <w:tc>
          <w:tcPr>
            <w:tcW w:w="15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Learning</w:t>
            </w:r>
          </w:p>
        </w:tc>
        <w:tc>
          <w:tcPr>
            <w:tcW w:w="48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is a recent security threat or vulnerability you learned about, and how would you defend against it?</w:t>
            </w:r>
          </w:p>
        </w:tc>
        <w:tc>
          <w:tcPr>
            <w:tcW w:w="48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Specific and current; can explain the defense in practical terms.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Questions Not to Ask</w:t>
      </w:r>
    </w:p>
    <w:p>
      <w:pPr>
        <w:pStyle w:val="BodyText"/>
        <w:bidi w:val="0"/>
        <w:jc w:val="left"/>
        <w:rPr/>
      </w:pPr>
      <w:r>
        <w:rPr/>
        <w:t xml:space="preserve">Do </w:t>
      </w:r>
      <w:r>
        <w:rPr>
          <w:b/>
        </w:rPr>
        <w:t>not</w:t>
      </w:r>
      <w:r>
        <w:rPr/>
        <w:t xml:space="preserve"> ask about, or base decisions on, any protected characteristic. Questions on these topics can violate U.S. federal and state equal-employment law (Title VII, ADA, ADEA, GINA, and state laws):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Age or date of birth (asking whether the candidate meets a legal minimum age is allowed).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Race, color, national origin, ancestry or native language. Instead ask: "Are you legally authorized to work in the United States?"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Religion, or which holidays the candidate observes.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Marital status, children, pregnancy, family plans or childcare arrangements.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Disability, health conditions or medications. Instead ask: "Can you perform the essential functions of this job, with or without reasonable accommodation?"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Sexual orientation or gender identity.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Genetic information or family medical history.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Arrest record; criminal conviction history only where state and local law allow, and usually only after a conditional offer.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Salary history (prohibited in many states and cities).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Type of military discharge, or union membership. </w:t>
      </w:r>
    </w:p>
    <w:p>
      <w:pPr>
        <w:pStyle w:val="Heading2"/>
        <w:bidi w:val="0"/>
        <w:jc w:val="left"/>
        <w:rPr/>
      </w:pPr>
      <w:r>
        <w:rPr/>
        <w:t>8. After the Interview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8.1 Each interviewer scores independently on the scoring sheet before the panel discusses. </w:t>
      </w:r>
      <w:r>
        <w:rPr>
          <w:color w:val="595959"/>
          <w:sz w:val="16"/>
        </w:rPr>
        <w:t>[800-53: PS-3 | 27002: 6.1]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8.2 Before any offer is final: reference checks, verification of education and certifications, and a background check appropriate to the position's risk, with the candidate's written consent (FCRA). </w:t>
      </w:r>
      <w:r>
        <w:rPr>
          <w:color w:val="595959"/>
          <w:sz w:val="16"/>
        </w:rPr>
        <w:t>[800-53: PS-3 | 27002: 6.1]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8.3 Before receiving any access, the new hire signs a confidentiality / non-disclosure agreement and acknowledges the Acceptable Use Policy and Rules of Behavior. </w:t>
      </w:r>
      <w:r>
        <w:rPr>
          <w:color w:val="595959"/>
          <w:sz w:val="16"/>
        </w:rPr>
        <w:t>[800-53: PS-6, PL-4 | 27002: 6.2, 6.6 | CIS: 14.1]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8.4 The new hire completes security awareness and role-based training before or at the start of access. </w:t>
      </w:r>
      <w:r>
        <w:rPr>
          <w:color w:val="595959"/>
          <w:sz w:val="16"/>
        </w:rPr>
        <w:t>[800-53: AT-2, AT-3 | 27002: 6.3 | CIS: 14.1, 14.9]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8.5 Interview notes and scores are retained according to the Data Retention Policy and handled as confidential HR records. </w:t>
      </w:r>
      <w:r>
        <w:rPr>
          <w:color w:val="595959"/>
          <w:sz w:val="16"/>
        </w:rPr>
        <w:t>[800-53: SI-12 | 27002: 5.33, 5.34 | CIS: 3.4]</w:t>
      </w:r>
    </w:p>
    <w:p>
      <w:pPr>
        <w:pStyle w:val="Heading2"/>
        <w:bidi w:val="0"/>
        <w:jc w:val="left"/>
        <w:rPr/>
      </w:pPr>
      <w:r>
        <w:rPr/>
        <w:t>9. Scoring Sheet</w:t>
      </w:r>
    </w:p>
    <w:p>
      <w:pPr>
        <w:pStyle w:val="BodyText"/>
        <w:bidi w:val="0"/>
        <w:jc w:val="left"/>
        <w:rPr/>
      </w:pPr>
      <w:r>
        <w:rPr/>
        <w:t>1 = poor, 3 = meets expectations, 5 = excellent. Record evidence for each score.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70"/>
        <w:gridCol w:w="1699"/>
        <w:gridCol w:w="5669"/>
      </w:tblGrid>
      <w:tr>
        <w:trPr/>
        <w:tc>
          <w:tcPr>
            <w:tcW w:w="39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16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Score (1-5)</w:t>
            </w:r>
          </w:p>
        </w:tc>
        <w:tc>
          <w:tcPr>
            <w:tcW w:w="56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Evidence / notes</w:t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Integrity and ethics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mindset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Technical fundamentals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Troubleshooting under pressure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Communication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Teamwork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Attention to detail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Continuous learning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Overall recommendation (hire / no hire)</w:t>
            </w:r>
          </w:p>
        </w:tc>
        <w:tc>
          <w:tcPr>
            <w:tcW w:w="16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6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10. Control Mapping</w:t>
      </w:r>
    </w:p>
    <w:p>
      <w:pPr>
        <w:pStyle w:val="BodyText"/>
        <w:bidi w:val="0"/>
        <w:jc w:val="left"/>
        <w:rPr/>
      </w:pPr>
      <w:r>
        <w:rPr/>
        <w:t>Controls each section implements. NIST = NIST SP 800-53 Rev. 5; ISO = ISO/IEC 27002:2022; CIS = CIS Critical Security Controls v8.1 safeguards.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75"/>
        <w:gridCol w:w="2947"/>
        <w:gridCol w:w="2495"/>
        <w:gridCol w:w="2721"/>
      </w:tblGrid>
      <w:tr>
        <w:trPr/>
        <w:tc>
          <w:tcPr>
            <w:tcW w:w="317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29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NIST SP 800-53 Rev. 5</w:t>
            </w:r>
          </w:p>
        </w:tc>
        <w:tc>
          <w:tcPr>
            <w:tcW w:w="24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ISO/IEC 27002:2022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CIS Controls v8.1</w:t>
            </w:r>
          </w:p>
        </w:tc>
      </w:tr>
      <w:tr>
        <w:trPr/>
        <w:tc>
          <w:tcPr>
            <w:tcW w:w="3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Before the Interview</w:t>
            </w:r>
          </w:p>
        </w:tc>
        <w:tc>
          <w:tcPr>
            <w:tcW w:w="29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PS-2, PS-3, PS-6, PS-9</w:t>
            </w:r>
          </w:p>
        </w:tc>
        <w:tc>
          <w:tcPr>
            <w:tcW w:w="2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5.12, 6.1, 6.6</w:t>
            </w:r>
          </w:p>
        </w:tc>
        <w:tc>
          <w:tcPr>
            <w:tcW w:w="27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14.9</w:t>
            </w:r>
          </w:p>
        </w:tc>
      </w:tr>
      <w:tr>
        <w:trPr/>
        <w:tc>
          <w:tcPr>
            <w:tcW w:w="317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the Interview</w:t>
            </w:r>
          </w:p>
        </w:tc>
        <w:tc>
          <w:tcPr>
            <w:tcW w:w="29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AT-2, AT-3, PL-4, PS-3, PS-6, SI-12</w:t>
            </w:r>
          </w:p>
        </w:tc>
        <w:tc>
          <w:tcPr>
            <w:tcW w:w="24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5.33, 5.34, 6.1, 6.2, 6.3, 6.6</w:t>
            </w:r>
          </w:p>
        </w:tc>
        <w:tc>
          <w:tcPr>
            <w:tcW w:w="27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3.4, 14.1, 14.9</w:t>
            </w:r>
          </w:p>
        </w:tc>
      </w:tr>
    </w:tbl>
    <w:p>
      <w:pPr>
        <w:pStyle w:val="Heading2"/>
        <w:bidi w:val="0"/>
        <w:jc w:val="left"/>
        <w:rPr/>
      </w:pPr>
      <w:r>
        <w:rPr/>
        <w:t>11. Sources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NIST SP 800-53 Rev. 5, Security and Privacy Controls for Information Systems and Organizations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ISO/IEC 27002:2022, Information security, cybersecurity and privacy protection - Information security controls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Center for Internet Security (CIS) Critical Security Controls v8.1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NIST SP 800-181 Rev. 1, Workforce Framework for Cybersecurity (NICE Framework)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U.S. Equal Employment Opportunity Commission (EEOC), Prohibited Employment Policies/Practices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Fair Credit Reporting Act (FCRA), background check consent requirements </w:t>
      </w:r>
    </w:p>
    <w:p>
      <w:pPr>
        <w:pStyle w:val="Heading2"/>
        <w:bidi w:val="0"/>
        <w:jc w:val="left"/>
        <w:rPr/>
      </w:pPr>
      <w:r>
        <w:rPr/>
        <w:t>12. Revision History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60"/>
        <w:gridCol w:w="2041"/>
        <w:gridCol w:w="2835"/>
        <w:gridCol w:w="5102"/>
      </w:tblGrid>
      <w:tr>
        <w:trPr/>
        <w:tc>
          <w:tcPr>
            <w:tcW w:w="13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51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9E2F3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Change</w:t>
            </w:r>
          </w:p>
        </w:tc>
      </w:tr>
      <w:tr>
        <w:trPr/>
        <w:tc>
          <w:tcPr>
            <w:tcW w:w="13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[Date]</w:t>
            </w:r>
          </w:p>
        </w:tc>
        <w:tc>
          <w:tcPr>
            <w:tcW w:w="28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[Team #]</w:t>
            </w:r>
          </w:p>
        </w:tc>
        <w:tc>
          <w:tcPr>
            <w:tcW w:w="51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release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;sans-serif" w:hAnsi="Arial;sans-serif" w:eastAsia="Arial;sans-serif" w:cs="Arial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rFonts w:ascii="Arial;sans-serif" w:hAnsi="Arial;sans-serif" w:eastAsia="Arial;sans-serif" w:cs="Arial;sans-serif"/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1F3864"/>
      </w:pBdr>
      <w:spacing w:before="280" w:after="120"/>
      <w:outlineLvl w:val="1"/>
    </w:pPr>
    <w:rPr>
      <w:rFonts w:ascii="Arial;sans-serif" w:hAnsi="Arial;sans-serif" w:eastAsia="Arial;sans-serif" w:cs="Arial;sans-serif"/>
      <w:b/>
      <w:bCs/>
      <w:color w:val="1F3864"/>
      <w:sz w:val="25"/>
      <w:szCs w:val="25"/>
    </w:rPr>
  </w:style>
  <w:style w:type="paragraph" w:styleId="Heading3">
    <w:name w:val="Heading 3"/>
    <w:basedOn w:val="Heading"/>
    <w:next w:val="BodyText"/>
    <w:qFormat/>
    <w:pPr>
      <w:spacing w:before="160" w:after="120"/>
      <w:outlineLvl w:val="2"/>
    </w:pPr>
    <w:rPr>
      <w:rFonts w:ascii="Arial;sans-serif" w:hAnsi="Arial;sans-serif" w:eastAsia="Arial;sans-serif" w:cs="Arial;sans-serif"/>
      <w:b/>
      <w:bCs/>
      <w:color w:val="2F5496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/>
    <w:rPr>
      <w:color w:val="40404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Security Staff Interview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