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240" w:after="40"/>
        <w:jc w:val="left"/>
        <w:rPr/>
      </w:pPr>
      <w:r>
        <w:rPr/>
        <w:t>Mobile Device Management Policy</w:t>
      </w:r>
    </w:p>
    <w:tbl>
      <w:tblPr>
        <w:tblW w:w="5000" w:type="pct"/>
        <w:jc w:val="left"/>
        <w:tblInd w:w="-7" w:type="dxa"/>
        <w:tblLayout w:type="fixed"/>
        <w:tblCellMar>
          <w:top w:w="45" w:type="dxa"/>
          <w:left w:w="45" w:type="dxa"/>
          <w:bottom w:w="45" w:type="dxa"/>
          <w:right w:w="45" w:type="dxa"/>
        </w:tblCellMar>
      </w:tblPr>
      <w:tblGrid>
        <w:gridCol w:w="2040"/>
        <w:gridCol w:w="3629"/>
        <w:gridCol w:w="2040"/>
        <w:gridCol w:w="3629"/>
      </w:tblGrid>
      <w:tr>
        <w:trPr/>
        <w:tc>
          <w:tcPr>
            <w:tcW w:w="2040" w:type="dxa"/>
            <w:tcBorders>
              <w:top w:val="single" w:sz="6" w:space="0" w:color="808080"/>
              <w:left w:val="single" w:sz="6" w:space="0" w:color="808080"/>
              <w:bottom w:val="single" w:sz="2" w:space="0" w:color="808080"/>
              <w:right w:val="single" w:sz="6" w:space="0" w:color="808080"/>
            </w:tcBorders>
            <w:shd w:fill="D9E2F3" w:val="clear"/>
            <w:vAlign w:val="center"/>
          </w:tcPr>
          <w:p>
            <w:pPr>
              <w:pStyle w:val="TableContents"/>
              <w:bidi w:val="0"/>
              <w:spacing w:before="0" w:after="283"/>
              <w:jc w:val="left"/>
              <w:rPr>
                <w:b/>
              </w:rPr>
            </w:pPr>
            <w:r>
              <w:rPr>
                <w:b/>
              </w:rPr>
              <w:t>Organization</w:t>
            </w:r>
          </w:p>
        </w:tc>
        <w:tc>
          <w:tcPr>
            <w:tcW w:w="3629" w:type="dxa"/>
            <w:tcBorders>
              <w:top w:val="single" w:sz="6" w:space="0" w:color="808080"/>
              <w:left w:val="single" w:sz="2" w:space="0" w:color="808080"/>
              <w:bottom w:val="single" w:sz="2" w:space="0" w:color="808080"/>
              <w:right w:val="single" w:sz="6" w:space="0" w:color="808080"/>
            </w:tcBorders>
            <w:vAlign w:val="center"/>
          </w:tcPr>
          <w:p>
            <w:pPr>
              <w:pStyle w:val="TableContents"/>
              <w:bidi w:val="0"/>
              <w:spacing w:before="0" w:after="283"/>
              <w:jc w:val="left"/>
              <w:rPr/>
            </w:pPr>
            <w:r>
              <w:rPr/>
              <w:t>[Company name]</w:t>
            </w:r>
          </w:p>
        </w:tc>
        <w:tc>
          <w:tcPr>
            <w:tcW w:w="2040" w:type="dxa"/>
            <w:tcBorders>
              <w:top w:val="single" w:sz="6" w:space="0" w:color="808080"/>
              <w:left w:val="single" w:sz="2" w:space="0" w:color="808080"/>
              <w:bottom w:val="single" w:sz="2" w:space="0" w:color="808080"/>
              <w:right w:val="single" w:sz="6" w:space="0" w:color="808080"/>
            </w:tcBorders>
            <w:shd w:fill="D9E2F3" w:val="clear"/>
            <w:vAlign w:val="center"/>
          </w:tcPr>
          <w:p>
            <w:pPr>
              <w:pStyle w:val="TableContents"/>
              <w:bidi w:val="0"/>
              <w:spacing w:before="0" w:after="283"/>
              <w:jc w:val="left"/>
              <w:rPr>
                <w:b/>
              </w:rPr>
            </w:pPr>
            <w:r>
              <w:rPr>
                <w:b/>
              </w:rPr>
              <w:t>Document ID</w:t>
            </w:r>
          </w:p>
        </w:tc>
        <w:tc>
          <w:tcPr>
            <w:tcW w:w="3629" w:type="dxa"/>
            <w:tcBorders>
              <w:top w:val="single" w:sz="6" w:space="0" w:color="808080"/>
              <w:left w:val="single" w:sz="2" w:space="0" w:color="808080"/>
              <w:bottom w:val="single" w:sz="2" w:space="0" w:color="808080"/>
              <w:right w:val="single" w:sz="6" w:space="0" w:color="808080"/>
            </w:tcBorders>
            <w:vAlign w:val="center"/>
          </w:tcPr>
          <w:p>
            <w:pPr>
              <w:pStyle w:val="TableContents"/>
              <w:bidi w:val="0"/>
              <w:spacing w:before="0" w:after="283"/>
              <w:jc w:val="left"/>
              <w:rPr/>
            </w:pPr>
            <w:r>
              <w:rPr/>
              <w:t>POL-07</w:t>
            </w:r>
          </w:p>
        </w:tc>
      </w:tr>
      <w:tr>
        <w:trPr/>
        <w:tc>
          <w:tcPr>
            <w:tcW w:w="2040" w:type="dxa"/>
            <w:tcBorders>
              <w:left w:val="single" w:sz="6" w:space="0" w:color="808080"/>
              <w:bottom w:val="single" w:sz="2" w:space="0" w:color="808080"/>
              <w:right w:val="single" w:sz="6" w:space="0" w:color="808080"/>
            </w:tcBorders>
            <w:shd w:fill="D9E2F3" w:val="clear"/>
            <w:vAlign w:val="center"/>
          </w:tcPr>
          <w:p>
            <w:pPr>
              <w:pStyle w:val="TableContents"/>
              <w:bidi w:val="0"/>
              <w:spacing w:before="0" w:after="283"/>
              <w:jc w:val="left"/>
              <w:rPr>
                <w:b/>
              </w:rPr>
            </w:pPr>
            <w:r>
              <w:rPr>
                <w:b/>
              </w:rPr>
              <w:t>Version</w:t>
            </w:r>
          </w:p>
        </w:tc>
        <w:tc>
          <w:tcPr>
            <w:tcW w:w="3629"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1.0</w:t>
            </w:r>
          </w:p>
        </w:tc>
        <w:tc>
          <w:tcPr>
            <w:tcW w:w="2040" w:type="dxa"/>
            <w:tcBorders>
              <w:left w:val="single" w:sz="2" w:space="0" w:color="808080"/>
              <w:bottom w:val="single" w:sz="2" w:space="0" w:color="808080"/>
              <w:right w:val="single" w:sz="6" w:space="0" w:color="808080"/>
            </w:tcBorders>
            <w:shd w:fill="D9E2F3" w:val="clear"/>
            <w:vAlign w:val="center"/>
          </w:tcPr>
          <w:p>
            <w:pPr>
              <w:pStyle w:val="TableContents"/>
              <w:bidi w:val="0"/>
              <w:spacing w:before="0" w:after="283"/>
              <w:jc w:val="left"/>
              <w:rPr>
                <w:b/>
              </w:rPr>
            </w:pPr>
            <w:r>
              <w:rPr>
                <w:b/>
              </w:rPr>
              <w:t>Effective date</w:t>
            </w:r>
          </w:p>
        </w:tc>
        <w:tc>
          <w:tcPr>
            <w:tcW w:w="3629"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[Date]</w:t>
            </w:r>
          </w:p>
        </w:tc>
      </w:tr>
      <w:tr>
        <w:trPr/>
        <w:tc>
          <w:tcPr>
            <w:tcW w:w="2040" w:type="dxa"/>
            <w:tcBorders>
              <w:left w:val="single" w:sz="6" w:space="0" w:color="808080"/>
              <w:bottom w:val="single" w:sz="2" w:space="0" w:color="808080"/>
              <w:right w:val="single" w:sz="6" w:space="0" w:color="808080"/>
            </w:tcBorders>
            <w:shd w:fill="D9E2F3" w:val="clear"/>
            <w:vAlign w:val="center"/>
          </w:tcPr>
          <w:p>
            <w:pPr>
              <w:pStyle w:val="TableContents"/>
              <w:bidi w:val="0"/>
              <w:spacing w:before="0" w:after="283"/>
              <w:jc w:val="left"/>
              <w:rPr>
                <w:b/>
              </w:rPr>
            </w:pPr>
            <w:r>
              <w:rPr>
                <w:b/>
              </w:rPr>
              <w:t>Policy owner</w:t>
            </w:r>
          </w:p>
        </w:tc>
        <w:tc>
          <w:tcPr>
            <w:tcW w:w="3629"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Chief Information Security Officer (CISO)</w:t>
            </w:r>
          </w:p>
        </w:tc>
        <w:tc>
          <w:tcPr>
            <w:tcW w:w="2040" w:type="dxa"/>
            <w:tcBorders>
              <w:left w:val="single" w:sz="2" w:space="0" w:color="808080"/>
              <w:bottom w:val="single" w:sz="2" w:space="0" w:color="808080"/>
              <w:right w:val="single" w:sz="6" w:space="0" w:color="808080"/>
            </w:tcBorders>
            <w:shd w:fill="D9E2F3" w:val="clear"/>
            <w:vAlign w:val="center"/>
          </w:tcPr>
          <w:p>
            <w:pPr>
              <w:pStyle w:val="TableContents"/>
              <w:bidi w:val="0"/>
              <w:spacing w:before="0" w:after="283"/>
              <w:jc w:val="left"/>
              <w:rPr>
                <w:b/>
              </w:rPr>
            </w:pPr>
            <w:r>
              <w:rPr>
                <w:b/>
              </w:rPr>
              <w:t>Approved by</w:t>
            </w:r>
          </w:p>
        </w:tc>
        <w:tc>
          <w:tcPr>
            <w:tcW w:w="3629"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[Name, Title]</w:t>
            </w:r>
          </w:p>
        </w:tc>
      </w:tr>
      <w:tr>
        <w:trPr/>
        <w:tc>
          <w:tcPr>
            <w:tcW w:w="2040" w:type="dxa"/>
            <w:tcBorders>
              <w:left w:val="single" w:sz="6" w:space="0" w:color="808080"/>
              <w:bottom w:val="single" w:sz="6" w:space="0" w:color="808080"/>
              <w:right w:val="single" w:sz="6" w:space="0" w:color="808080"/>
            </w:tcBorders>
            <w:shd w:fill="D9E2F3" w:val="clear"/>
            <w:vAlign w:val="center"/>
          </w:tcPr>
          <w:p>
            <w:pPr>
              <w:pStyle w:val="TableContents"/>
              <w:bidi w:val="0"/>
              <w:spacing w:before="0" w:after="283"/>
              <w:jc w:val="left"/>
              <w:rPr>
                <w:b/>
              </w:rPr>
            </w:pPr>
            <w:r>
              <w:rPr>
                <w:b/>
              </w:rPr>
              <w:t>Review frequency</w:t>
            </w:r>
          </w:p>
        </w:tc>
        <w:tc>
          <w:tcPr>
            <w:tcW w:w="3629" w:type="dxa"/>
            <w:tcBorders>
              <w:left w:val="single" w:sz="2" w:space="0" w:color="808080"/>
              <w:bottom w:val="single" w:sz="6" w:space="0" w:color="808080"/>
              <w:right w:val="single" w:sz="6" w:space="0" w:color="808080"/>
            </w:tcBorders>
            <w:vAlign w:val="center"/>
          </w:tcPr>
          <w:p>
            <w:pPr>
              <w:pStyle w:val="TableContents"/>
              <w:bidi w:val="0"/>
              <w:spacing w:before="0" w:after="283"/>
              <w:jc w:val="left"/>
              <w:rPr/>
            </w:pPr>
            <w:r>
              <w:rPr/>
              <w:t>At least annually, and after any significant incident or change</w:t>
            </w:r>
          </w:p>
        </w:tc>
        <w:tc>
          <w:tcPr>
            <w:tcW w:w="2040" w:type="dxa"/>
            <w:tcBorders>
              <w:left w:val="single" w:sz="2" w:space="0" w:color="808080"/>
              <w:bottom w:val="single" w:sz="6" w:space="0" w:color="808080"/>
              <w:right w:val="single" w:sz="6" w:space="0" w:color="808080"/>
            </w:tcBorders>
            <w:shd w:fill="D9E2F3" w:val="clear"/>
            <w:vAlign w:val="center"/>
          </w:tcPr>
          <w:p>
            <w:pPr>
              <w:pStyle w:val="TableContents"/>
              <w:bidi w:val="0"/>
              <w:spacing w:before="0" w:after="283"/>
              <w:jc w:val="left"/>
              <w:rPr>
                <w:b/>
              </w:rPr>
            </w:pPr>
            <w:r>
              <w:rPr>
                <w:b/>
              </w:rPr>
              <w:t>Classification</w:t>
            </w:r>
          </w:p>
        </w:tc>
        <w:tc>
          <w:tcPr>
            <w:tcW w:w="3629" w:type="dxa"/>
            <w:tcBorders>
              <w:left w:val="single" w:sz="2" w:space="0" w:color="808080"/>
              <w:bottom w:val="single" w:sz="6" w:space="0" w:color="808080"/>
              <w:right w:val="single" w:sz="6" w:space="0" w:color="808080"/>
            </w:tcBorders>
            <w:vAlign w:val="center"/>
          </w:tcPr>
          <w:p>
            <w:pPr>
              <w:pStyle w:val="TableContents"/>
              <w:bidi w:val="0"/>
              <w:spacing w:before="0" w:after="283"/>
              <w:jc w:val="left"/>
              <w:rPr/>
            </w:pPr>
            <w:r>
              <w:rPr/>
              <w:t>Internal</w:t>
            </w:r>
          </w:p>
        </w:tc>
      </w:tr>
    </w:tbl>
    <w:p>
      <w:pPr>
        <w:pStyle w:val="Heading2"/>
        <w:bidi w:val="0"/>
        <w:jc w:val="left"/>
        <w:rPr/>
      </w:pPr>
      <w:r>
        <w:rPr/>
        <w:t>1. Purpose</w:t>
      </w:r>
    </w:p>
    <w:p>
      <w:pPr>
        <w:pStyle w:val="BodyText"/>
        <w:bidi w:val="0"/>
        <w:jc w:val="left"/>
        <w:rPr/>
      </w:pPr>
      <w:r>
        <w:rPr/>
        <w:t>This policy sets the security requirements for mobile devices (phones, tablets, laptops) that access Organization data, to protect that data if a device is lost, stolen or compromised.</w:t>
      </w:r>
    </w:p>
    <w:p>
      <w:pPr>
        <w:pStyle w:val="Heading2"/>
        <w:bidi w:val="0"/>
        <w:jc w:val="left"/>
        <w:rPr/>
      </w:pPr>
      <w:r>
        <w:rPr/>
        <w:t>2. Scope</w:t>
      </w:r>
    </w:p>
    <w:p>
      <w:pPr>
        <w:pStyle w:val="BodyText"/>
        <w:bidi w:val="0"/>
        <w:jc w:val="left"/>
        <w:rPr/>
      </w:pPr>
      <w:r>
        <w:rPr/>
        <w:t>Applies to Organization-owned mobile devices and to personally owned devices (BYOD) used to access Organization email, applications or data, and to all employees, contractors, interns, vendors and other third parties who use them.</w:t>
      </w:r>
    </w:p>
    <w:p>
      <w:pPr>
        <w:pStyle w:val="Heading2"/>
        <w:bidi w:val="0"/>
        <w:jc w:val="left"/>
        <w:rPr/>
      </w:pPr>
      <w:r>
        <w:rPr/>
        <w:t>3. Definitions</w:t>
      </w:r>
    </w:p>
    <w:tbl>
      <w:tblPr>
        <w:tblW w:w="5000" w:type="pct"/>
        <w:jc w:val="left"/>
        <w:tblInd w:w="-7" w:type="dxa"/>
        <w:tblLayout w:type="fixed"/>
        <w:tblCellMar>
          <w:top w:w="45" w:type="dxa"/>
          <w:left w:w="45" w:type="dxa"/>
          <w:bottom w:w="45" w:type="dxa"/>
          <w:right w:w="45" w:type="dxa"/>
        </w:tblCellMar>
      </w:tblPr>
      <w:tblGrid>
        <w:gridCol w:w="2493"/>
        <w:gridCol w:w="8845"/>
      </w:tblGrid>
      <w:tr>
        <w:trPr/>
        <w:tc>
          <w:tcPr>
            <w:tcW w:w="2493" w:type="dxa"/>
            <w:tcBorders>
              <w:top w:val="single" w:sz="6" w:space="0" w:color="808080"/>
              <w:left w:val="single" w:sz="6" w:space="0" w:color="808080"/>
              <w:bottom w:val="single" w:sz="2" w:space="0" w:color="808080"/>
              <w:right w:val="single" w:sz="6" w:space="0" w:color="808080"/>
            </w:tcBorders>
            <w:shd w:fill="D9E2F3" w:val="clear"/>
            <w:vAlign w:val="center"/>
          </w:tcPr>
          <w:p>
            <w:pPr>
              <w:pStyle w:val="TableContents"/>
              <w:bidi w:val="0"/>
              <w:spacing w:before="0" w:after="283"/>
              <w:jc w:val="left"/>
              <w:rPr>
                <w:b/>
              </w:rPr>
            </w:pPr>
            <w:r>
              <w:rPr>
                <w:b/>
              </w:rPr>
              <w:t>Term</w:t>
            </w:r>
          </w:p>
        </w:tc>
        <w:tc>
          <w:tcPr>
            <w:tcW w:w="8845" w:type="dxa"/>
            <w:tcBorders>
              <w:top w:val="single" w:sz="6" w:space="0" w:color="808080"/>
              <w:left w:val="single" w:sz="2" w:space="0" w:color="808080"/>
              <w:bottom w:val="single" w:sz="2" w:space="0" w:color="808080"/>
              <w:right w:val="single" w:sz="6" w:space="0" w:color="808080"/>
            </w:tcBorders>
            <w:shd w:fill="D9E2F3" w:val="clear"/>
            <w:vAlign w:val="center"/>
          </w:tcPr>
          <w:p>
            <w:pPr>
              <w:pStyle w:val="TableContents"/>
              <w:bidi w:val="0"/>
              <w:spacing w:before="0" w:after="283"/>
              <w:jc w:val="left"/>
              <w:rPr>
                <w:b/>
              </w:rPr>
            </w:pPr>
            <w:r>
              <w:rPr>
                <w:b/>
              </w:rPr>
              <w:t>Definition</w:t>
            </w:r>
          </w:p>
        </w:tc>
      </w:tr>
      <w:tr>
        <w:trPr/>
        <w:tc>
          <w:tcPr>
            <w:tcW w:w="2493"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Mobile device</w:t>
            </w:r>
          </w:p>
        </w:tc>
        <w:tc>
          <w:tcPr>
            <w:tcW w:w="8845"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Smartphone, tablet or laptop that can store or access Organization data.</w:t>
            </w:r>
          </w:p>
        </w:tc>
      </w:tr>
      <w:tr>
        <w:trPr/>
        <w:tc>
          <w:tcPr>
            <w:tcW w:w="2493"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MDM</w:t>
            </w:r>
          </w:p>
        </w:tc>
        <w:tc>
          <w:tcPr>
            <w:tcW w:w="8845"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Mobile Device Management software used to enforce settings, deploy apps and remotely lock or wipe devices.</w:t>
            </w:r>
          </w:p>
        </w:tc>
      </w:tr>
      <w:tr>
        <w:trPr/>
        <w:tc>
          <w:tcPr>
            <w:tcW w:w="2493"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BYOD</w:t>
            </w:r>
          </w:p>
        </w:tc>
        <w:tc>
          <w:tcPr>
            <w:tcW w:w="8845"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Bring Your Own Device: a personally owned device used for work.</w:t>
            </w:r>
          </w:p>
        </w:tc>
      </w:tr>
      <w:tr>
        <w:trPr/>
        <w:tc>
          <w:tcPr>
            <w:tcW w:w="2493" w:type="dxa"/>
            <w:tcBorders>
              <w:left w:val="single" w:sz="6" w:space="0" w:color="808080"/>
              <w:bottom w:val="single" w:sz="6" w:space="0" w:color="808080"/>
              <w:right w:val="single" w:sz="6" w:space="0" w:color="808080"/>
            </w:tcBorders>
            <w:vAlign w:val="center"/>
          </w:tcPr>
          <w:p>
            <w:pPr>
              <w:pStyle w:val="TableContents"/>
              <w:bidi w:val="0"/>
              <w:spacing w:before="0" w:after="283"/>
              <w:jc w:val="left"/>
              <w:rPr/>
            </w:pPr>
            <w:r>
              <w:rPr/>
              <w:t>Work profile</w:t>
            </w:r>
          </w:p>
        </w:tc>
        <w:tc>
          <w:tcPr>
            <w:tcW w:w="8845" w:type="dxa"/>
            <w:tcBorders>
              <w:left w:val="single" w:sz="2" w:space="0" w:color="808080"/>
              <w:bottom w:val="single" w:sz="6" w:space="0" w:color="808080"/>
              <w:right w:val="single" w:sz="6" w:space="0" w:color="808080"/>
            </w:tcBorders>
            <w:vAlign w:val="center"/>
          </w:tcPr>
          <w:p>
            <w:pPr>
              <w:pStyle w:val="TableContents"/>
              <w:bidi w:val="0"/>
              <w:spacing w:before="0" w:after="283"/>
              <w:jc w:val="left"/>
              <w:rPr/>
            </w:pPr>
            <w:r>
              <w:rPr/>
              <w:t>Separate, managed container on a device holding Organization apps and data.</w:t>
            </w:r>
          </w:p>
        </w:tc>
      </w:tr>
    </w:tbl>
    <w:p>
      <w:pPr>
        <w:pStyle w:val="Heading2"/>
        <w:bidi w:val="0"/>
        <w:jc w:val="left"/>
        <w:rPr/>
      </w:pPr>
      <w:r>
        <w:rPr/>
        <w:t>4. Enrollment and Inventory</w:t>
      </w:r>
    </w:p>
    <w:p>
      <w:pPr>
        <w:pStyle w:val="BodyText"/>
        <w:bidi w:val="0"/>
        <w:ind w:hanging="0" w:left="0" w:right="0"/>
        <w:jc w:val="left"/>
        <w:rPr/>
      </w:pPr>
      <w:r>
        <w:rPr/>
        <w:t xml:space="preserve">4.1 Devices must be enrolled in the MDM before accessing Organization data; unenrolled devices are blocked. </w:t>
      </w:r>
      <w:r>
        <w:rPr>
          <w:color w:val="595959"/>
          <w:sz w:val="16"/>
        </w:rPr>
        <w:t>[800-53: AC-19, CM-8 | 27002: 8.1 | CIS: 1.1, 4.12]</w:t>
      </w:r>
    </w:p>
    <w:p>
      <w:pPr>
        <w:pStyle w:val="BodyText"/>
        <w:bidi w:val="0"/>
        <w:ind w:hanging="0" w:left="0" w:right="0"/>
        <w:jc w:val="left"/>
        <w:rPr/>
      </w:pPr>
      <w:r>
        <w:rPr/>
        <w:t xml:space="preserve">4.2 Organization-owned devices are procured through IT and recorded in the asset inventory. </w:t>
      </w:r>
      <w:r>
        <w:rPr>
          <w:color w:val="595959"/>
          <w:sz w:val="16"/>
        </w:rPr>
        <w:t>[800-53: CM-8 | 27002: 5.9 | CIS: 1.1]</w:t>
      </w:r>
    </w:p>
    <w:p>
      <w:pPr>
        <w:pStyle w:val="Heading2"/>
        <w:bidi w:val="0"/>
        <w:jc w:val="left"/>
        <w:rPr/>
      </w:pPr>
      <w:r>
        <w:rPr/>
        <w:t>5. Required Security Settings</w:t>
      </w:r>
    </w:p>
    <w:p>
      <w:pPr>
        <w:pStyle w:val="BodyText"/>
        <w:bidi w:val="0"/>
        <w:ind w:hanging="0" w:left="0" w:right="0"/>
        <w:jc w:val="left"/>
        <w:rPr/>
      </w:pPr>
      <w:r>
        <w:rPr/>
        <w:t xml:space="preserve">5.1 Screen lock with a PIN of at least 6 digits or biometric, locking automatically after 5 minutes of inactivity. </w:t>
      </w:r>
      <w:r>
        <w:rPr>
          <w:color w:val="595959"/>
          <w:sz w:val="16"/>
        </w:rPr>
        <w:t>[800-53: AC-11, AC-19 | 27002: 8.1 | CIS: 4.3, 4.10]</w:t>
      </w:r>
    </w:p>
    <w:p>
      <w:pPr>
        <w:pStyle w:val="BodyText"/>
        <w:bidi w:val="0"/>
        <w:ind w:hanging="0" w:left="0" w:right="0"/>
        <w:jc w:val="left"/>
        <w:rPr/>
      </w:pPr>
      <w:r>
        <w:rPr/>
        <w:t xml:space="preserve">5.2 Full-device encryption enabled. </w:t>
      </w:r>
      <w:r>
        <w:rPr>
          <w:color w:val="595959"/>
          <w:sz w:val="16"/>
        </w:rPr>
        <w:t>[800-53: AC-19(5), SC-28 | 27002: 8.1, 8.24 | CIS: 3.6]</w:t>
      </w:r>
    </w:p>
    <w:p>
      <w:pPr>
        <w:pStyle w:val="BodyText"/>
        <w:bidi w:val="0"/>
        <w:ind w:hanging="0" w:left="0" w:right="0"/>
        <w:jc w:val="left"/>
        <w:rPr/>
      </w:pPr>
      <w:r>
        <w:rPr/>
        <w:t xml:space="preserve">5.3 Operating system and apps kept within one version of current and patched; jailbroken or rooted devices are prohibited. </w:t>
      </w:r>
      <w:r>
        <w:rPr>
          <w:color w:val="595959"/>
          <w:sz w:val="16"/>
        </w:rPr>
        <w:t>[800-53: SI-2, AC-19 | 27002: 8.1, 8.8 | CIS: 7.3, 7.4]</w:t>
      </w:r>
    </w:p>
    <w:p>
      <w:pPr>
        <w:pStyle w:val="BodyText"/>
        <w:bidi w:val="0"/>
        <w:ind w:hanging="0" w:left="0" w:right="0"/>
        <w:jc w:val="left"/>
        <w:rPr/>
      </w:pPr>
      <w:r>
        <w:rPr/>
        <w:t xml:space="preserve">5.4 Remote lock and wipe capability enabled; on BYOD devices only the work profile is wiped. </w:t>
      </w:r>
      <w:r>
        <w:rPr>
          <w:color w:val="595959"/>
          <w:sz w:val="16"/>
        </w:rPr>
        <w:t>[800-53: AC-19, MP-6 | 27002: 8.1 | CIS: 4.11, 4.12]</w:t>
      </w:r>
    </w:p>
    <w:p>
      <w:pPr>
        <w:pStyle w:val="BodyText"/>
        <w:bidi w:val="0"/>
        <w:ind w:hanging="0" w:left="0" w:right="0"/>
        <w:jc w:val="left"/>
        <w:rPr/>
      </w:pPr>
      <w:r>
        <w:rPr/>
        <w:t xml:space="preserve">5.5 Apps are installed only from official app stores; Organization apps are deployed through the MDM. </w:t>
      </w:r>
      <w:r>
        <w:rPr>
          <w:color w:val="595959"/>
          <w:sz w:val="16"/>
        </w:rPr>
        <w:t>[800-53: CM-10, CM-11 | 27002: 8.19 | CIS: 2.5]</w:t>
      </w:r>
    </w:p>
    <w:p>
      <w:pPr>
        <w:pStyle w:val="Heading2"/>
        <w:bidi w:val="0"/>
        <w:jc w:val="left"/>
        <w:rPr/>
      </w:pPr>
      <w:r>
        <w:rPr/>
        <w:t>6. Use and Data Protection</w:t>
      </w:r>
    </w:p>
    <w:p>
      <w:pPr>
        <w:pStyle w:val="BodyText"/>
        <w:bidi w:val="0"/>
        <w:ind w:hanging="0" w:left="0" w:right="0"/>
        <w:jc w:val="left"/>
        <w:rPr/>
      </w:pPr>
      <w:r>
        <w:rPr/>
        <w:t xml:space="preserve">6.1 Organization data stays inside managed apps and the work profile; copying it to personal apps or storage is prohibited. </w:t>
      </w:r>
      <w:r>
        <w:rPr>
          <w:color w:val="595959"/>
          <w:sz w:val="16"/>
        </w:rPr>
        <w:t>[800-53: AC-19, AC-20 | 27002: 8.1, 8.12 | CIS: 3.3, 4.12]</w:t>
      </w:r>
    </w:p>
    <w:p>
      <w:pPr>
        <w:pStyle w:val="BodyText"/>
        <w:bidi w:val="0"/>
        <w:ind w:hanging="0" w:left="0" w:right="0"/>
        <w:jc w:val="left"/>
        <w:rPr/>
      </w:pPr>
      <w:r>
        <w:rPr/>
        <w:t xml:space="preserve">6.2 Lost or stolen devices must be reported to IT immediately so the device can be locked or wiped. </w:t>
      </w:r>
      <w:r>
        <w:rPr>
          <w:color w:val="595959"/>
          <w:sz w:val="16"/>
        </w:rPr>
        <w:t>[800-53: IR-6, AC-19 | 27002: 6.8, 8.1 | CIS: 4.11, 17.3]</w:t>
      </w:r>
    </w:p>
    <w:p>
      <w:pPr>
        <w:pStyle w:val="Heading2"/>
        <w:bidi w:val="0"/>
        <w:jc w:val="left"/>
        <w:rPr/>
      </w:pPr>
      <w:r>
        <w:rPr/>
        <w:t>7. Retirement</w:t>
      </w:r>
    </w:p>
    <w:p>
      <w:pPr>
        <w:pStyle w:val="BodyText"/>
        <w:bidi w:val="0"/>
        <w:ind w:hanging="0" w:left="0" w:right="0"/>
        <w:jc w:val="left"/>
        <w:rPr/>
      </w:pPr>
      <w:r>
        <w:rPr/>
        <w:t xml:space="preserve">7.1 Devices are returned on termination or replacement and sanitized before reuse or disposal. </w:t>
      </w:r>
      <w:r>
        <w:rPr>
          <w:color w:val="595959"/>
          <w:sz w:val="16"/>
        </w:rPr>
        <w:t>[800-53: MP-6, PS-4 | 27002: 5.11, 7.14 | CIS: 3.5]</w:t>
      </w:r>
    </w:p>
    <w:p>
      <w:pPr>
        <w:pStyle w:val="Heading2"/>
        <w:bidi w:val="0"/>
        <w:jc w:val="left"/>
        <w:rPr/>
      </w:pPr>
      <w:r>
        <w:rPr/>
        <w:t>8. Compliance and Disciplinary Action</w:t>
      </w:r>
    </w:p>
    <w:p>
      <w:pPr>
        <w:pStyle w:val="BodyText"/>
        <w:bidi w:val="0"/>
        <w:ind w:hanging="0" w:left="0" w:right="0"/>
        <w:jc w:val="left"/>
        <w:rPr/>
      </w:pPr>
      <w:r>
        <w:rPr/>
        <w:t xml:space="preserve">8.1 Compliance with this document is mandatory for everyone in scope. Compliance is verified through technical monitoring, audits and management review. </w:t>
      </w:r>
      <w:r>
        <w:rPr>
          <w:color w:val="595959"/>
          <w:sz w:val="16"/>
        </w:rPr>
        <w:t>[800-53: CA-2, CA-7 | 27002: 5.36 | CIS: 17.9]</w:t>
      </w:r>
    </w:p>
    <w:p>
      <w:pPr>
        <w:pStyle w:val="BodyText"/>
        <w:bidi w:val="0"/>
        <w:ind w:hanging="0" w:left="0" w:right="0"/>
        <w:jc w:val="left"/>
        <w:rPr/>
      </w:pPr>
      <w:r>
        <w:rPr/>
        <w:t xml:space="preserve">8.2 Violations are handled through the Organization's formal disciplinary process, in proportion to the severity and intent of the violation: verbal or written warning, mandatory retraining, suspension or removal of access rights, and termination of employment or contract. Violations involving illegal activity are referred to law enforcement. </w:t>
      </w:r>
      <w:r>
        <w:rPr>
          <w:color w:val="595959"/>
          <w:sz w:val="16"/>
        </w:rPr>
        <w:t>[800-53: PS-8 | 27002: 6.4]</w:t>
      </w:r>
    </w:p>
    <w:p>
      <w:pPr>
        <w:pStyle w:val="BodyText"/>
        <w:bidi w:val="0"/>
        <w:ind w:hanging="0" w:left="0" w:right="0"/>
        <w:jc w:val="left"/>
        <w:rPr/>
      </w:pPr>
      <w:r>
        <w:rPr/>
        <w:t xml:space="preserve">8.3 Contractors, vendors and other third parties who violate this document may have their access revoked and their contract terminated, and may be held liable for resulting damages. </w:t>
      </w:r>
      <w:r>
        <w:rPr>
          <w:color w:val="595959"/>
          <w:sz w:val="16"/>
        </w:rPr>
        <w:t>[800-53: PS-7, SA-9 | 27002: 5.20 | CIS: 15.4]</w:t>
      </w:r>
    </w:p>
    <w:p>
      <w:pPr>
        <w:pStyle w:val="BodyText"/>
        <w:bidi w:val="0"/>
        <w:ind w:hanging="0" w:left="0" w:right="0"/>
        <w:jc w:val="left"/>
        <w:rPr/>
      </w:pPr>
      <w:r>
        <w:rPr/>
        <w:t xml:space="preserve">8.4 Personnel must report suspected violations to their manager or the Information Security team. Reports made in good faith are protected from retaliation. </w:t>
      </w:r>
      <w:r>
        <w:rPr>
          <w:color w:val="595959"/>
          <w:sz w:val="16"/>
        </w:rPr>
        <w:t>[800-53: IR-6 | 27002: 6.8 | CIS: 17.3]</w:t>
      </w:r>
    </w:p>
    <w:p>
      <w:pPr>
        <w:pStyle w:val="Heading2"/>
        <w:bidi w:val="0"/>
        <w:jc w:val="left"/>
        <w:rPr/>
      </w:pPr>
      <w:r>
        <w:rPr/>
        <w:t>9. Exceptions</w:t>
      </w:r>
    </w:p>
    <w:p>
      <w:pPr>
        <w:pStyle w:val="BodyText"/>
        <w:bidi w:val="0"/>
        <w:ind w:hanging="0" w:left="0" w:right="0"/>
        <w:jc w:val="left"/>
        <w:rPr/>
      </w:pPr>
      <w:r>
        <w:rPr/>
        <w:t xml:space="preserve">9.1 Any exception must be requested in writing, state the business justification, the risk and the compensating controls, and be approved by the CISO (and the system or data owner) before it takes effect. </w:t>
      </w:r>
      <w:r>
        <w:rPr>
          <w:color w:val="595959"/>
          <w:sz w:val="16"/>
        </w:rPr>
        <w:t>[800-53: PM-9, CA-7 | 27002: 5.1, 5.36]</w:t>
      </w:r>
    </w:p>
    <w:p>
      <w:pPr>
        <w:pStyle w:val="BodyText"/>
        <w:bidi w:val="0"/>
        <w:ind w:hanging="0" w:left="0" w:right="0"/>
        <w:jc w:val="left"/>
        <w:rPr/>
      </w:pPr>
      <w:r>
        <w:rPr/>
        <w:t xml:space="preserve">9.2 Approved exceptions are recorded in the exception register, are time-limited to a maximum of 12 months, and are re-evaluated before renewal. </w:t>
      </w:r>
      <w:r>
        <w:rPr>
          <w:color w:val="595959"/>
          <w:sz w:val="16"/>
        </w:rPr>
        <w:t>[800-53: PM-9 | 27002: 5.1]</w:t>
      </w:r>
    </w:p>
    <w:p>
      <w:pPr>
        <w:pStyle w:val="Heading2"/>
        <w:bidi w:val="0"/>
        <w:jc w:val="left"/>
        <w:rPr/>
      </w:pPr>
      <w:r>
        <w:rPr/>
        <w:t>10. Policy Review and Maintenance</w:t>
      </w:r>
    </w:p>
    <w:p>
      <w:pPr>
        <w:pStyle w:val="BodyText"/>
        <w:bidi w:val="0"/>
        <w:ind w:hanging="0" w:left="0" w:right="0"/>
        <w:jc w:val="left"/>
        <w:rPr/>
      </w:pPr>
      <w:r>
        <w:rPr/>
        <w:t xml:space="preserve">10.1 The policy owner reviews this document at least annually, and also after a significant security incident, a major change to systems or the business, a change in law or regulation, or an audit finding. </w:t>
      </w:r>
      <w:r>
        <w:rPr>
          <w:color w:val="595959"/>
          <w:sz w:val="16"/>
        </w:rPr>
        <w:t>[800-53: PL-1, PM-1 | 27002: 5.1, 5.35 | CIS: 14.1]</w:t>
      </w:r>
    </w:p>
    <w:p>
      <w:pPr>
        <w:pStyle w:val="BodyText"/>
        <w:bidi w:val="0"/>
        <w:ind w:hanging="0" w:left="0" w:right="0"/>
        <w:jc w:val="left"/>
        <w:rPr/>
      </w:pPr>
      <w:r>
        <w:rPr/>
        <w:t xml:space="preserve">10.2 Changes are approved by management, recorded in the revision history, and communicated to everyone in scope. Personnel acknowledge the current version. </w:t>
      </w:r>
      <w:r>
        <w:rPr>
          <w:color w:val="595959"/>
          <w:sz w:val="16"/>
        </w:rPr>
        <w:t>[800-53: PL-1, PL-4, PS-6 | 27002: 5.1, 6.2 | CIS: 14.1]</w:t>
      </w:r>
    </w:p>
    <w:p>
      <w:pPr>
        <w:pStyle w:val="Heading2"/>
        <w:bidi w:val="0"/>
        <w:jc w:val="left"/>
        <w:rPr/>
      </w:pPr>
      <w:r>
        <w:rPr/>
        <w:t>11. Control Mapping</w:t>
      </w:r>
    </w:p>
    <w:p>
      <w:pPr>
        <w:pStyle w:val="BodyText"/>
        <w:bidi w:val="0"/>
        <w:jc w:val="left"/>
        <w:rPr/>
      </w:pPr>
      <w:r>
        <w:rPr/>
        <w:t>Controls each section implements. NIST = NIST SP 800-53 Rev. 5; ISO = ISO/IEC 27002:2022; CIS = CIS Critical Security Controls v8.1 safeguards.</w:t>
      </w:r>
    </w:p>
    <w:tbl>
      <w:tblPr>
        <w:tblW w:w="5000" w:type="pct"/>
        <w:jc w:val="left"/>
        <w:tblInd w:w="-7" w:type="dxa"/>
        <w:tblLayout w:type="fixed"/>
        <w:tblCellMar>
          <w:top w:w="45" w:type="dxa"/>
          <w:left w:w="45" w:type="dxa"/>
          <w:bottom w:w="45" w:type="dxa"/>
          <w:right w:w="45" w:type="dxa"/>
        </w:tblCellMar>
      </w:tblPr>
      <w:tblGrid>
        <w:gridCol w:w="3175"/>
        <w:gridCol w:w="2947"/>
        <w:gridCol w:w="2494"/>
        <w:gridCol w:w="2722"/>
      </w:tblGrid>
      <w:tr>
        <w:trPr/>
        <w:tc>
          <w:tcPr>
            <w:tcW w:w="3175" w:type="dxa"/>
            <w:tcBorders>
              <w:top w:val="single" w:sz="6" w:space="0" w:color="808080"/>
              <w:left w:val="single" w:sz="6" w:space="0" w:color="808080"/>
              <w:bottom w:val="single" w:sz="2" w:space="0" w:color="808080"/>
              <w:right w:val="single" w:sz="6" w:space="0" w:color="808080"/>
            </w:tcBorders>
            <w:shd w:fill="D9E2F3" w:val="clear"/>
            <w:vAlign w:val="center"/>
          </w:tcPr>
          <w:p>
            <w:pPr>
              <w:pStyle w:val="TableContents"/>
              <w:bidi w:val="0"/>
              <w:spacing w:before="0" w:after="283"/>
              <w:jc w:val="left"/>
              <w:rPr>
                <w:b/>
              </w:rPr>
            </w:pPr>
            <w:r>
              <w:rPr>
                <w:b/>
              </w:rPr>
              <w:t>Section</w:t>
            </w:r>
          </w:p>
        </w:tc>
        <w:tc>
          <w:tcPr>
            <w:tcW w:w="2947" w:type="dxa"/>
            <w:tcBorders>
              <w:top w:val="single" w:sz="6" w:space="0" w:color="808080"/>
              <w:left w:val="single" w:sz="2" w:space="0" w:color="808080"/>
              <w:bottom w:val="single" w:sz="2" w:space="0" w:color="808080"/>
              <w:right w:val="single" w:sz="6" w:space="0" w:color="808080"/>
            </w:tcBorders>
            <w:shd w:fill="D9E2F3" w:val="clear"/>
            <w:vAlign w:val="center"/>
          </w:tcPr>
          <w:p>
            <w:pPr>
              <w:pStyle w:val="TableContents"/>
              <w:bidi w:val="0"/>
              <w:spacing w:before="0" w:after="283"/>
              <w:jc w:val="left"/>
              <w:rPr>
                <w:b/>
              </w:rPr>
            </w:pPr>
            <w:r>
              <w:rPr>
                <w:b/>
              </w:rPr>
              <w:t>NIST SP 800-53 Rev. 5</w:t>
            </w:r>
          </w:p>
        </w:tc>
        <w:tc>
          <w:tcPr>
            <w:tcW w:w="2494" w:type="dxa"/>
            <w:tcBorders>
              <w:top w:val="single" w:sz="6" w:space="0" w:color="808080"/>
              <w:left w:val="single" w:sz="2" w:space="0" w:color="808080"/>
              <w:bottom w:val="single" w:sz="2" w:space="0" w:color="808080"/>
              <w:right w:val="single" w:sz="6" w:space="0" w:color="808080"/>
            </w:tcBorders>
            <w:shd w:fill="D9E2F3" w:val="clear"/>
            <w:vAlign w:val="center"/>
          </w:tcPr>
          <w:p>
            <w:pPr>
              <w:pStyle w:val="TableContents"/>
              <w:bidi w:val="0"/>
              <w:spacing w:before="0" w:after="283"/>
              <w:jc w:val="left"/>
              <w:rPr>
                <w:b/>
              </w:rPr>
            </w:pPr>
            <w:r>
              <w:rPr>
                <w:b/>
              </w:rPr>
              <w:t>ISO/IEC 27002:2022</w:t>
            </w:r>
          </w:p>
        </w:tc>
        <w:tc>
          <w:tcPr>
            <w:tcW w:w="2722" w:type="dxa"/>
            <w:tcBorders>
              <w:top w:val="single" w:sz="6" w:space="0" w:color="808080"/>
              <w:left w:val="single" w:sz="2" w:space="0" w:color="808080"/>
              <w:bottom w:val="single" w:sz="2" w:space="0" w:color="808080"/>
              <w:right w:val="single" w:sz="6" w:space="0" w:color="808080"/>
            </w:tcBorders>
            <w:shd w:fill="D9E2F3" w:val="clear"/>
            <w:vAlign w:val="center"/>
          </w:tcPr>
          <w:p>
            <w:pPr>
              <w:pStyle w:val="TableContents"/>
              <w:bidi w:val="0"/>
              <w:spacing w:before="0" w:after="283"/>
              <w:jc w:val="left"/>
              <w:rPr>
                <w:b/>
              </w:rPr>
            </w:pPr>
            <w:r>
              <w:rPr>
                <w:b/>
              </w:rPr>
              <w:t>CIS Controls v8.1</w:t>
            </w:r>
          </w:p>
        </w:tc>
      </w:tr>
      <w:tr>
        <w:trPr/>
        <w:tc>
          <w:tcPr>
            <w:tcW w:w="3175"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Enrollment and Inventory</w:t>
            </w:r>
          </w:p>
        </w:tc>
        <w:tc>
          <w:tcPr>
            <w:tcW w:w="2947"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AC-19, CM-8</w:t>
            </w:r>
          </w:p>
        </w:tc>
        <w:tc>
          <w:tcPr>
            <w:tcW w:w="2494"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5.9, 8.1</w:t>
            </w:r>
          </w:p>
        </w:tc>
        <w:tc>
          <w:tcPr>
            <w:tcW w:w="2722"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1.1, 4.12</w:t>
            </w:r>
          </w:p>
        </w:tc>
      </w:tr>
      <w:tr>
        <w:trPr/>
        <w:tc>
          <w:tcPr>
            <w:tcW w:w="3175"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Required Security Settings</w:t>
            </w:r>
          </w:p>
        </w:tc>
        <w:tc>
          <w:tcPr>
            <w:tcW w:w="2947"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AC-11, AC-19, AC-19(5), CM-10, CM-11, MP-6, SC-28, SI-2</w:t>
            </w:r>
          </w:p>
        </w:tc>
        <w:tc>
          <w:tcPr>
            <w:tcW w:w="2494"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8.1, 8.8, 8.19, 8.24</w:t>
            </w:r>
          </w:p>
        </w:tc>
        <w:tc>
          <w:tcPr>
            <w:tcW w:w="2722"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2.5, 3.6, 4.3, 4.10, 4.11, 4.12, 7.3, 7.4</w:t>
            </w:r>
          </w:p>
        </w:tc>
      </w:tr>
      <w:tr>
        <w:trPr/>
        <w:tc>
          <w:tcPr>
            <w:tcW w:w="3175"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Use and Data Protection</w:t>
            </w:r>
          </w:p>
        </w:tc>
        <w:tc>
          <w:tcPr>
            <w:tcW w:w="2947"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AC-19, AC-20, IR-6</w:t>
            </w:r>
          </w:p>
        </w:tc>
        <w:tc>
          <w:tcPr>
            <w:tcW w:w="2494"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6.8, 8.1, 8.12</w:t>
            </w:r>
          </w:p>
        </w:tc>
        <w:tc>
          <w:tcPr>
            <w:tcW w:w="2722"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3.3, 4.11, 4.12, 17.3</w:t>
            </w:r>
          </w:p>
        </w:tc>
      </w:tr>
      <w:tr>
        <w:trPr/>
        <w:tc>
          <w:tcPr>
            <w:tcW w:w="3175"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Retirement</w:t>
            </w:r>
          </w:p>
        </w:tc>
        <w:tc>
          <w:tcPr>
            <w:tcW w:w="2947"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MP-6, PS-4</w:t>
            </w:r>
          </w:p>
        </w:tc>
        <w:tc>
          <w:tcPr>
            <w:tcW w:w="2494"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5.11, 7.14</w:t>
            </w:r>
          </w:p>
        </w:tc>
        <w:tc>
          <w:tcPr>
            <w:tcW w:w="2722"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3.5</w:t>
            </w:r>
          </w:p>
        </w:tc>
      </w:tr>
      <w:tr>
        <w:trPr/>
        <w:tc>
          <w:tcPr>
            <w:tcW w:w="3175"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Compliance and Disciplinary Action</w:t>
            </w:r>
          </w:p>
        </w:tc>
        <w:tc>
          <w:tcPr>
            <w:tcW w:w="2947"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CA-2, CA-7, IR-6, PS-7, PS-8, SA-9</w:t>
            </w:r>
          </w:p>
        </w:tc>
        <w:tc>
          <w:tcPr>
            <w:tcW w:w="2494"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5.20, 5.36, 6.4, 6.8</w:t>
            </w:r>
          </w:p>
        </w:tc>
        <w:tc>
          <w:tcPr>
            <w:tcW w:w="2722"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15.4, 17.3, 17.9</w:t>
            </w:r>
          </w:p>
        </w:tc>
      </w:tr>
      <w:tr>
        <w:trPr/>
        <w:tc>
          <w:tcPr>
            <w:tcW w:w="3175"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Exceptions</w:t>
            </w:r>
          </w:p>
        </w:tc>
        <w:tc>
          <w:tcPr>
            <w:tcW w:w="2947"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CA-7, PM-9</w:t>
            </w:r>
          </w:p>
        </w:tc>
        <w:tc>
          <w:tcPr>
            <w:tcW w:w="2494"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5.1, 5.36</w:t>
            </w:r>
          </w:p>
        </w:tc>
        <w:tc>
          <w:tcPr>
            <w:tcW w:w="2722"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sz w:val="4"/>
                <w:szCs w:val="4"/>
              </w:rPr>
            </w:pPr>
            <w:r>
              <w:rPr>
                <w:sz w:val="4"/>
                <w:szCs w:val="4"/>
              </w:rPr>
            </w:r>
          </w:p>
        </w:tc>
      </w:tr>
      <w:tr>
        <w:trPr/>
        <w:tc>
          <w:tcPr>
            <w:tcW w:w="3175" w:type="dxa"/>
            <w:tcBorders>
              <w:left w:val="single" w:sz="6" w:space="0" w:color="808080"/>
              <w:bottom w:val="single" w:sz="6" w:space="0" w:color="808080"/>
              <w:right w:val="single" w:sz="6" w:space="0" w:color="808080"/>
            </w:tcBorders>
            <w:vAlign w:val="center"/>
          </w:tcPr>
          <w:p>
            <w:pPr>
              <w:pStyle w:val="TableContents"/>
              <w:bidi w:val="0"/>
              <w:spacing w:before="0" w:after="283"/>
              <w:jc w:val="left"/>
              <w:rPr/>
            </w:pPr>
            <w:r>
              <w:rPr/>
              <w:t>Policy Review and Maintenance</w:t>
            </w:r>
          </w:p>
        </w:tc>
        <w:tc>
          <w:tcPr>
            <w:tcW w:w="2947" w:type="dxa"/>
            <w:tcBorders>
              <w:left w:val="single" w:sz="2" w:space="0" w:color="808080"/>
              <w:bottom w:val="single" w:sz="6" w:space="0" w:color="808080"/>
              <w:right w:val="single" w:sz="6" w:space="0" w:color="808080"/>
            </w:tcBorders>
            <w:vAlign w:val="center"/>
          </w:tcPr>
          <w:p>
            <w:pPr>
              <w:pStyle w:val="TableContents"/>
              <w:bidi w:val="0"/>
              <w:spacing w:before="0" w:after="283"/>
              <w:jc w:val="left"/>
              <w:rPr/>
            </w:pPr>
            <w:r>
              <w:rPr/>
              <w:t>PL-1, PL-4, PM-1, PS-6</w:t>
            </w:r>
          </w:p>
        </w:tc>
        <w:tc>
          <w:tcPr>
            <w:tcW w:w="2494" w:type="dxa"/>
            <w:tcBorders>
              <w:left w:val="single" w:sz="2" w:space="0" w:color="808080"/>
              <w:bottom w:val="single" w:sz="6" w:space="0" w:color="808080"/>
              <w:right w:val="single" w:sz="6" w:space="0" w:color="808080"/>
            </w:tcBorders>
            <w:vAlign w:val="center"/>
          </w:tcPr>
          <w:p>
            <w:pPr>
              <w:pStyle w:val="TableContents"/>
              <w:bidi w:val="0"/>
              <w:spacing w:before="0" w:after="283"/>
              <w:jc w:val="left"/>
              <w:rPr/>
            </w:pPr>
            <w:r>
              <w:rPr/>
              <w:t>5.1, 5.35, 6.2</w:t>
            </w:r>
          </w:p>
        </w:tc>
        <w:tc>
          <w:tcPr>
            <w:tcW w:w="2722" w:type="dxa"/>
            <w:tcBorders>
              <w:left w:val="single" w:sz="2" w:space="0" w:color="808080"/>
              <w:bottom w:val="single" w:sz="6" w:space="0" w:color="808080"/>
              <w:right w:val="single" w:sz="6" w:space="0" w:color="808080"/>
            </w:tcBorders>
            <w:vAlign w:val="center"/>
          </w:tcPr>
          <w:p>
            <w:pPr>
              <w:pStyle w:val="TableContents"/>
              <w:bidi w:val="0"/>
              <w:spacing w:before="0" w:after="283"/>
              <w:jc w:val="left"/>
              <w:rPr/>
            </w:pPr>
            <w:r>
              <w:rPr/>
              <w:t>14.1</w:t>
            </w:r>
          </w:p>
        </w:tc>
      </w:tr>
    </w:tbl>
    <w:p>
      <w:pPr>
        <w:pStyle w:val="Heading2"/>
        <w:bidi w:val="0"/>
        <w:jc w:val="left"/>
        <w:rPr/>
      </w:pPr>
      <w:r>
        <w:rPr/>
        <w:t>12. Sources</w:t>
      </w:r>
    </w:p>
    <w:p>
      <w:pPr>
        <w:pStyle w:val="BodyText"/>
        <w:numPr>
          <w:ilvl w:val="0"/>
          <w:numId w:val="1"/>
        </w:numPr>
        <w:tabs>
          <w:tab w:val="clear" w:pos="1134"/>
          <w:tab w:val="left" w:pos="709" w:leader="none"/>
        </w:tabs>
        <w:bidi w:val="0"/>
        <w:spacing w:before="0" w:after="0"/>
        <w:ind w:hanging="283" w:left="709"/>
        <w:jc w:val="left"/>
        <w:rPr/>
      </w:pPr>
      <w:r>
        <w:rPr/>
        <w:t xml:space="preserve">NIST SP 800-53 Rev. 5, Security and Privacy Controls for Information Systems and Organizations </w:t>
      </w:r>
    </w:p>
    <w:p>
      <w:pPr>
        <w:pStyle w:val="BodyText"/>
        <w:numPr>
          <w:ilvl w:val="0"/>
          <w:numId w:val="1"/>
        </w:numPr>
        <w:tabs>
          <w:tab w:val="clear" w:pos="1134"/>
          <w:tab w:val="left" w:pos="709" w:leader="none"/>
        </w:tabs>
        <w:bidi w:val="0"/>
        <w:spacing w:before="0" w:after="0"/>
        <w:ind w:hanging="283" w:left="709"/>
        <w:jc w:val="left"/>
        <w:rPr/>
      </w:pPr>
      <w:r>
        <w:rPr/>
        <w:t xml:space="preserve">ISO/IEC 27002:2022, Information security, cybersecurity and privacy protection - Information security controls </w:t>
      </w:r>
    </w:p>
    <w:p>
      <w:pPr>
        <w:pStyle w:val="BodyText"/>
        <w:numPr>
          <w:ilvl w:val="0"/>
          <w:numId w:val="1"/>
        </w:numPr>
        <w:tabs>
          <w:tab w:val="clear" w:pos="1134"/>
          <w:tab w:val="left" w:pos="709" w:leader="none"/>
        </w:tabs>
        <w:bidi w:val="0"/>
        <w:spacing w:before="0" w:after="0"/>
        <w:ind w:hanging="283" w:left="709"/>
        <w:jc w:val="left"/>
        <w:rPr/>
      </w:pPr>
      <w:r>
        <w:rPr/>
        <w:t xml:space="preserve">Center for Internet Security (CIS) Critical Security Controls v8.1 </w:t>
      </w:r>
    </w:p>
    <w:p>
      <w:pPr>
        <w:pStyle w:val="BodyText"/>
        <w:numPr>
          <w:ilvl w:val="0"/>
          <w:numId w:val="1"/>
        </w:numPr>
        <w:tabs>
          <w:tab w:val="clear" w:pos="1134"/>
          <w:tab w:val="left" w:pos="709" w:leader="none"/>
        </w:tabs>
        <w:bidi w:val="0"/>
        <w:ind w:hanging="283" w:left="709"/>
        <w:jc w:val="left"/>
        <w:rPr/>
      </w:pPr>
      <w:r>
        <w:rPr/>
        <w:t xml:space="preserve">NIST SP 800-124 Rev. 2, Guidelines for Managing the Security of Mobile Devices in the Enterprise </w:t>
      </w:r>
    </w:p>
    <w:p>
      <w:pPr>
        <w:pStyle w:val="Heading2"/>
        <w:bidi w:val="0"/>
        <w:jc w:val="left"/>
        <w:rPr/>
      </w:pPr>
      <w:r>
        <w:rPr/>
        <w:t>13. Revision History</w:t>
      </w:r>
    </w:p>
    <w:tbl>
      <w:tblPr>
        <w:tblW w:w="5000" w:type="pct"/>
        <w:jc w:val="left"/>
        <w:tblInd w:w="-7" w:type="dxa"/>
        <w:tblLayout w:type="fixed"/>
        <w:tblCellMar>
          <w:top w:w="45" w:type="dxa"/>
          <w:left w:w="45" w:type="dxa"/>
          <w:bottom w:w="45" w:type="dxa"/>
          <w:right w:w="45" w:type="dxa"/>
        </w:tblCellMar>
      </w:tblPr>
      <w:tblGrid>
        <w:gridCol w:w="1360"/>
        <w:gridCol w:w="2041"/>
        <w:gridCol w:w="2835"/>
        <w:gridCol w:w="5102"/>
      </w:tblGrid>
      <w:tr>
        <w:trPr/>
        <w:tc>
          <w:tcPr>
            <w:tcW w:w="1360" w:type="dxa"/>
            <w:tcBorders>
              <w:top w:val="single" w:sz="6" w:space="0" w:color="808080"/>
              <w:left w:val="single" w:sz="6" w:space="0" w:color="808080"/>
              <w:bottom w:val="single" w:sz="2" w:space="0" w:color="808080"/>
              <w:right w:val="single" w:sz="6" w:space="0" w:color="808080"/>
            </w:tcBorders>
            <w:shd w:fill="D9E2F3" w:val="clear"/>
            <w:vAlign w:val="center"/>
          </w:tcPr>
          <w:p>
            <w:pPr>
              <w:pStyle w:val="TableContents"/>
              <w:bidi w:val="0"/>
              <w:spacing w:before="0" w:after="283"/>
              <w:jc w:val="left"/>
              <w:rPr>
                <w:b/>
              </w:rPr>
            </w:pPr>
            <w:r>
              <w:rPr>
                <w:b/>
              </w:rPr>
              <w:t>Version</w:t>
            </w:r>
          </w:p>
        </w:tc>
        <w:tc>
          <w:tcPr>
            <w:tcW w:w="2041" w:type="dxa"/>
            <w:tcBorders>
              <w:top w:val="single" w:sz="6" w:space="0" w:color="808080"/>
              <w:left w:val="single" w:sz="2" w:space="0" w:color="808080"/>
              <w:bottom w:val="single" w:sz="2" w:space="0" w:color="808080"/>
              <w:right w:val="single" w:sz="6" w:space="0" w:color="808080"/>
            </w:tcBorders>
            <w:shd w:fill="D9E2F3" w:val="clear"/>
            <w:vAlign w:val="center"/>
          </w:tcPr>
          <w:p>
            <w:pPr>
              <w:pStyle w:val="TableContents"/>
              <w:bidi w:val="0"/>
              <w:spacing w:before="0" w:after="283"/>
              <w:jc w:val="left"/>
              <w:rPr>
                <w:b/>
              </w:rPr>
            </w:pPr>
            <w:r>
              <w:rPr>
                <w:b/>
              </w:rPr>
              <w:t>Date</w:t>
            </w:r>
          </w:p>
        </w:tc>
        <w:tc>
          <w:tcPr>
            <w:tcW w:w="2835" w:type="dxa"/>
            <w:tcBorders>
              <w:top w:val="single" w:sz="6" w:space="0" w:color="808080"/>
              <w:left w:val="single" w:sz="2" w:space="0" w:color="808080"/>
              <w:bottom w:val="single" w:sz="2" w:space="0" w:color="808080"/>
              <w:right w:val="single" w:sz="6" w:space="0" w:color="808080"/>
            </w:tcBorders>
            <w:shd w:fill="D9E2F3" w:val="clear"/>
            <w:vAlign w:val="center"/>
          </w:tcPr>
          <w:p>
            <w:pPr>
              <w:pStyle w:val="TableContents"/>
              <w:bidi w:val="0"/>
              <w:spacing w:before="0" w:after="283"/>
              <w:jc w:val="left"/>
              <w:rPr>
                <w:b/>
              </w:rPr>
            </w:pPr>
            <w:r>
              <w:rPr>
                <w:b/>
              </w:rPr>
              <w:t>Author</w:t>
            </w:r>
          </w:p>
        </w:tc>
        <w:tc>
          <w:tcPr>
            <w:tcW w:w="5102" w:type="dxa"/>
            <w:tcBorders>
              <w:top w:val="single" w:sz="6" w:space="0" w:color="808080"/>
              <w:left w:val="single" w:sz="2" w:space="0" w:color="808080"/>
              <w:bottom w:val="single" w:sz="2" w:space="0" w:color="808080"/>
              <w:right w:val="single" w:sz="6" w:space="0" w:color="808080"/>
            </w:tcBorders>
            <w:shd w:fill="D9E2F3" w:val="clear"/>
            <w:vAlign w:val="center"/>
          </w:tcPr>
          <w:p>
            <w:pPr>
              <w:pStyle w:val="TableContents"/>
              <w:bidi w:val="0"/>
              <w:spacing w:before="0" w:after="283"/>
              <w:jc w:val="left"/>
              <w:rPr>
                <w:b/>
              </w:rPr>
            </w:pPr>
            <w:r>
              <w:rPr>
                <w:b/>
              </w:rPr>
              <w:t>Change</w:t>
            </w:r>
          </w:p>
        </w:tc>
      </w:tr>
      <w:tr>
        <w:trPr/>
        <w:tc>
          <w:tcPr>
            <w:tcW w:w="1360" w:type="dxa"/>
            <w:tcBorders>
              <w:left w:val="single" w:sz="6" w:space="0" w:color="808080"/>
              <w:bottom w:val="single" w:sz="6" w:space="0" w:color="808080"/>
              <w:right w:val="single" w:sz="6" w:space="0" w:color="808080"/>
            </w:tcBorders>
            <w:vAlign w:val="center"/>
          </w:tcPr>
          <w:p>
            <w:pPr>
              <w:pStyle w:val="TableContents"/>
              <w:bidi w:val="0"/>
              <w:spacing w:before="0" w:after="283"/>
              <w:jc w:val="left"/>
              <w:rPr/>
            </w:pPr>
            <w:r>
              <w:rPr/>
              <w:t>1.0</w:t>
            </w:r>
          </w:p>
        </w:tc>
        <w:tc>
          <w:tcPr>
            <w:tcW w:w="2041" w:type="dxa"/>
            <w:tcBorders>
              <w:left w:val="single" w:sz="2" w:space="0" w:color="808080"/>
              <w:bottom w:val="single" w:sz="6" w:space="0" w:color="808080"/>
              <w:right w:val="single" w:sz="6" w:space="0" w:color="808080"/>
            </w:tcBorders>
            <w:vAlign w:val="center"/>
          </w:tcPr>
          <w:p>
            <w:pPr>
              <w:pStyle w:val="TableContents"/>
              <w:bidi w:val="0"/>
              <w:spacing w:before="0" w:after="283"/>
              <w:jc w:val="left"/>
              <w:rPr/>
            </w:pPr>
            <w:r>
              <w:rPr/>
              <w:t>[Date]</w:t>
            </w:r>
          </w:p>
        </w:tc>
        <w:tc>
          <w:tcPr>
            <w:tcW w:w="2835" w:type="dxa"/>
            <w:tcBorders>
              <w:left w:val="single" w:sz="2" w:space="0" w:color="808080"/>
              <w:bottom w:val="single" w:sz="6" w:space="0" w:color="808080"/>
              <w:right w:val="single" w:sz="6" w:space="0" w:color="808080"/>
            </w:tcBorders>
            <w:vAlign w:val="center"/>
          </w:tcPr>
          <w:p>
            <w:pPr>
              <w:pStyle w:val="TableContents"/>
              <w:bidi w:val="0"/>
              <w:spacing w:before="0" w:after="283"/>
              <w:jc w:val="left"/>
              <w:rPr/>
            </w:pPr>
            <w:r>
              <w:rPr/>
              <w:t>[Team #]</w:t>
            </w:r>
          </w:p>
        </w:tc>
        <w:tc>
          <w:tcPr>
            <w:tcW w:w="5102" w:type="dxa"/>
            <w:tcBorders>
              <w:left w:val="single" w:sz="2" w:space="0" w:color="808080"/>
              <w:bottom w:val="single" w:sz="6" w:space="0" w:color="808080"/>
              <w:right w:val="single" w:sz="6" w:space="0" w:color="808080"/>
            </w:tcBorders>
            <w:vAlign w:val="center"/>
          </w:tcPr>
          <w:p>
            <w:pPr>
              <w:pStyle w:val="TableContents"/>
              <w:bidi w:val="0"/>
              <w:spacing w:before="0" w:after="283"/>
              <w:jc w:val="left"/>
              <w:rPr/>
            </w:pPr>
            <w:r>
              <w:rPr/>
              <w:t>Initial release</w:t>
            </w:r>
          </w:p>
        </w:tc>
      </w:tr>
    </w:tbl>
    <w:p>
      <w:pPr>
        <w:pStyle w:val="BodyText"/>
        <w:bidi w:val="0"/>
        <w:spacing w:before="0" w:after="283"/>
        <w:jc w:val="left"/>
        <w:rPr/>
      </w:pPr>
      <w:r>
        <w:rPr/>
      </w:r>
    </w:p>
    <w:sectPr>
      <w:type w:val="nextPage"/>
      <w:pgSz w:w="12240" w:h="15840"/>
      <w:pgMar w:left="1134" w:right="567" w:gutter="0" w:header="0" w:top="567" w:footer="0" w:bottom="567"/>
      <w:pgNumType w:fmt="decimal"/>
      <w:formProt w:val="false"/>
      <w:textDirection w:val="lrTb"/>
      <w:docGrid w:type="default" w:linePitch="600" w:charSpace="38911"/>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altName w:val="sans-serif"/>
    <w:charset w:val="01"/>
    <w:family w:val="auto"/>
    <w:pitch w:val="default"/>
  </w:font>
  <w:font w:name="Liberation Sans">
    <w:altName w:val="Arial"/>
    <w:charset w:val="01"/>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2">
    <w:lvl w:ilvl="0">
      <w:start w:val="1"/>
      <w:numFmt w:val="none"/>
      <w:suff w:val="nothing"/>
      <w:lvlText w:val="%1"/>
      <w:lvlJc w:val="left"/>
      <w:pPr>
        <w:tabs>
          <w:tab w:val="num" w:pos="0"/>
        </w:tabs>
        <w:ind w:left="0" w:hanging="0"/>
      </w:pPr>
    </w:lvl>
    <w:lvl w:ilvl="1">
      <w:start w:val="1"/>
      <w:pStyle w:val="Heading2"/>
      <w:numFmt w:val="none"/>
      <w:suff w:val="nothing"/>
      <w:lvlText w:val="%2"/>
      <w:lvlJc w:val="left"/>
      <w:pPr>
        <w:tabs>
          <w:tab w:val="num" w:pos="0"/>
        </w:tabs>
        <w:ind w:left="0" w:hanging="0"/>
      </w:pPr>
    </w:lvl>
    <w:lvl w:ilvl="2">
      <w:start w:val="1"/>
      <w:pStyle w:val="Heading3"/>
      <w:numFmt w:val="none"/>
      <w:suff w:val="nothing"/>
      <w:lvlText w:val="%3"/>
      <w:lvlJc w:val="left"/>
      <w:pPr>
        <w:tabs>
          <w:tab w:val="num" w:pos="0"/>
        </w:tabs>
        <w:ind w:left="0" w:hanging="0"/>
      </w:pPr>
    </w:lvl>
    <w:lvl w:ilvl="3">
      <w:start w:val="1"/>
      <w:numFmt w:val="none"/>
      <w:suff w:val="nothing"/>
      <w:lvlText w:val="%4"/>
      <w:lvlJc w:val="left"/>
      <w:pPr>
        <w:tabs>
          <w:tab w:val="num" w:pos="0"/>
        </w:tabs>
        <w:ind w:left="0" w:hanging="0"/>
      </w:pPr>
    </w:lvl>
    <w:lvl w:ilvl="4">
      <w:start w:val="1"/>
      <w:numFmt w:val="none"/>
      <w:suff w:val="nothing"/>
      <w:lvlText w:val="%5"/>
      <w:lvlJc w:val="left"/>
      <w:pPr>
        <w:tabs>
          <w:tab w:val="num" w:pos="0"/>
        </w:tabs>
        <w:ind w:left="0" w:hanging="0"/>
      </w:pPr>
    </w:lvl>
    <w:lvl w:ilvl="5">
      <w:start w:val="1"/>
      <w:numFmt w:val="none"/>
      <w:suff w:val="nothing"/>
      <w:lvlText w:val="%6"/>
      <w:lvlJc w:val="left"/>
      <w:pPr>
        <w:tabs>
          <w:tab w:val="num" w:pos="0"/>
        </w:tabs>
        <w:ind w:left="0" w:hanging="0"/>
      </w:pPr>
    </w:lvl>
    <w:lvl w:ilvl="6">
      <w:start w:val="1"/>
      <w:numFmt w:val="none"/>
      <w:suff w:val="nothing"/>
      <w:lvlText w:val="%7"/>
      <w:lvlJc w:val="left"/>
      <w:pPr>
        <w:tabs>
          <w:tab w:val="num" w:pos="0"/>
        </w:tabs>
        <w:ind w:left="0" w:hanging="0"/>
      </w:pPr>
    </w:lvl>
    <w:lvl w:ilvl="7">
      <w:start w:val="1"/>
      <w:numFmt w:val="none"/>
      <w:suff w:val="nothing"/>
      <w:lvlText w:val="%8"/>
      <w:lvlJc w:val="left"/>
      <w:pPr>
        <w:tabs>
          <w:tab w:val="num" w:pos="0"/>
        </w:tabs>
        <w:ind w:left="0" w:hanging="0"/>
      </w:pPr>
    </w:lvl>
    <w:lvl w:ilvl="8">
      <w:start w:val="1"/>
      <w:numFmt w:val="none"/>
      <w:suff w:val="nothing"/>
      <w:lvlText w:val="%9"/>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view w:val="web"/>
  <w:zoom w:percent="100"/>
  <w:defaultTabStop w:val="1134"/>
  <w:autoHyphenation w:val="true"/>
  <w:compat>
    <w:compatSetting w:name="compatibilityMode" w:uri="http://schemas.microsoft.com/office/word" w:val="12"/>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en-US" w:eastAsia="zh-CN" w:bidi="hi-IN"/>
      </w:rPr>
    </w:rPrDefault>
    <w:pPrDefault>
      <w:pPr>
        <w:suppressAutoHyphens w:val="true"/>
      </w:pPr>
    </w:pPrDefault>
  </w:docDefaults>
  <w:style w:type="paragraph" w:styleId="Normal">
    <w:name w:val="Normal"/>
    <w:qFormat/>
    <w:pPr>
      <w:widowControl w:val="false"/>
      <w:bidi w:val="0"/>
      <w:spacing w:lineRule="auto" w:line="312"/>
    </w:pPr>
    <w:rPr>
      <w:rFonts w:ascii="Arial;sans-serif" w:hAnsi="Arial;sans-serif" w:eastAsia="Arial;sans-serif" w:cs="Arial;sans-serif"/>
      <w:color w:val="auto"/>
      <w:sz w:val="21"/>
      <w:szCs w:val="21"/>
      <w:lang w:val="en-US" w:eastAsia="zh-CN" w:bidi="hi-IN"/>
    </w:rPr>
  </w:style>
  <w:style w:type="paragraph" w:styleId="Heading1">
    <w:name w:val="Heading 1"/>
    <w:basedOn w:val="Heading"/>
    <w:next w:val="BodyText"/>
    <w:qFormat/>
    <w:pPr>
      <w:spacing w:before="240" w:after="40"/>
    </w:pPr>
    <w:rPr>
      <w:rFonts w:ascii="Arial;sans-serif" w:hAnsi="Arial;sans-serif" w:eastAsia="Arial;sans-serif" w:cs="Arial;sans-serif"/>
      <w:b/>
      <w:bCs/>
      <w:color w:val="1F3864"/>
      <w:sz w:val="36"/>
      <w:szCs w:val="36"/>
    </w:rPr>
  </w:style>
  <w:style w:type="paragraph" w:styleId="Heading2">
    <w:name w:val="Heading 2"/>
    <w:basedOn w:val="Heading"/>
    <w:next w:val="BodyText"/>
    <w:qFormat/>
    <w:pPr>
      <w:pBdr>
        <w:bottom w:val="single" w:sz="2" w:space="1" w:color="1F3864"/>
      </w:pBdr>
      <w:spacing w:before="280" w:after="120"/>
      <w:outlineLvl w:val="1"/>
    </w:pPr>
    <w:rPr>
      <w:rFonts w:ascii="Arial;sans-serif" w:hAnsi="Arial;sans-serif" w:eastAsia="Arial;sans-serif" w:cs="Arial;sans-serif"/>
      <w:b/>
      <w:bCs/>
      <w:color w:val="1F3864"/>
      <w:sz w:val="25"/>
      <w:szCs w:val="25"/>
    </w:rPr>
  </w:style>
  <w:style w:type="paragraph" w:styleId="Heading3">
    <w:name w:val="Heading 3"/>
    <w:basedOn w:val="Heading"/>
    <w:next w:val="BodyText"/>
    <w:qFormat/>
    <w:pPr>
      <w:spacing w:before="160" w:after="120"/>
      <w:outlineLvl w:val="2"/>
    </w:pPr>
    <w:rPr>
      <w:rFonts w:ascii="Arial;sans-serif" w:hAnsi="Arial;sans-serif" w:eastAsia="Arial;sans-serif" w:cs="Arial;sans-serif"/>
      <w:b/>
      <w:bCs/>
      <w:color w:val="2F5496"/>
      <w:sz w:val="22"/>
      <w:szCs w:val="22"/>
    </w:rPr>
  </w:style>
  <w:style w:type="character" w:styleId="EndnoteCharacters">
    <w:name w:val="Endnote Characters"/>
    <w:qFormat/>
    <w:rPr/>
  </w:style>
  <w:style w:type="character" w:styleId="FootnoteCharacters">
    <w:name w:val="Footnote Characters"/>
    <w:qFormat/>
    <w:rPr/>
  </w:style>
  <w:style w:type="character" w:styleId="Hyperlink">
    <w:name w:val="Hyperlink"/>
    <w:rPr>
      <w:color w:val="000080"/>
      <w:u w:val="single"/>
    </w:rPr>
  </w:style>
  <w:style w:type="character" w:styleId="NumberingSymbols">
    <w:name w:val="Numbering Symbols"/>
    <w:qFormat/>
    <w:rPr/>
  </w:style>
  <w:style w:type="paragraph" w:styleId="HorizontalLine">
    <w:name w:val="Horizontal Line"/>
    <w:basedOn w:val="Normal"/>
    <w:next w:val="BodyText"/>
    <w:qFormat/>
    <w:pPr>
      <w:pBdr>
        <w:bottom w:val="double" w:sz="2" w:space="0" w:color="808080"/>
      </w:pBdr>
      <w:spacing w:before="0" w:after="283"/>
    </w:pPr>
    <w:rPr>
      <w:sz w:val="12"/>
    </w:rPr>
  </w:style>
  <w:style w:type="paragraph" w:styleId="EnvelopeReturn">
    <w:name w:val="Envelope Return"/>
    <w:basedOn w:val="Normal"/>
    <w:pPr/>
    <w:rPr>
      <w:i/>
    </w:rPr>
  </w:style>
  <w:style w:type="paragraph" w:styleId="TableContents">
    <w:name w:val="Table Contents"/>
    <w:basedOn w:val="BodyText"/>
    <w:qFormat/>
    <w:pPr/>
    <w:rPr>
      <w:sz w:val="18"/>
      <w:szCs w:val="18"/>
    </w:rPr>
  </w:style>
  <w:style w:type="paragraph" w:styleId="Footer">
    <w:name w:val="Footer"/>
    <w:basedOn w:val="Normal"/>
    <w:pPr>
      <w:suppressLineNumbers/>
      <w:tabs>
        <w:tab w:val="clear" w:pos="1134"/>
        <w:tab w:val="center" w:pos="4818" w:leader="none"/>
        <w:tab w:val="right" w:pos="9637" w:leader="none"/>
      </w:tabs>
    </w:pPr>
    <w:rPr/>
  </w:style>
  <w:style w:type="paragraph" w:styleId="Header">
    <w:name w:val="Header"/>
    <w:basedOn w:val="Normal"/>
    <w:pPr>
      <w:suppressLineNumbers/>
      <w:tabs>
        <w:tab w:val="clear" w:pos="1134"/>
        <w:tab w:val="center" w:pos="4818" w:leader="none"/>
        <w:tab w:val="right" w:pos="9637" w:leader="none"/>
      </w:tabs>
    </w:pPr>
    <w:rPr/>
  </w:style>
  <w:style w:type="paragraph" w:styleId="HeaderandFooter">
    <w:name w:val="Header and Footer"/>
    <w:basedOn w:val="Normal"/>
    <w:qFormat/>
    <w:pPr>
      <w:suppressLineNumbers/>
      <w:tabs>
        <w:tab w:val="clear" w:pos="1134"/>
        <w:tab w:val="center" w:pos="4986" w:leader="none"/>
        <w:tab w:val="right" w:pos="9972" w:leader="none"/>
      </w:tabs>
    </w:pPr>
    <w:rPr/>
  </w:style>
  <w:style w:type="paragraph" w:styleId="Index">
    <w:name w:val="Index"/>
    <w:basedOn w:val="Normal"/>
    <w:qFormat/>
    <w:pPr>
      <w:suppressLineNumbers/>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List">
    <w:name w:val="List"/>
    <w:basedOn w:val="BodyText"/>
    <w:pPr/>
    <w:rPr>
      <w:rFonts w:cs="Noto Sans Devanagari"/>
    </w:rPr>
  </w:style>
  <w:style w:type="paragraph" w:styleId="BodyText">
    <w:name w:val="Body Text"/>
    <w:basedOn w:val="Normal"/>
    <w:pPr>
      <w:spacing w:before="0" w:after="283"/>
    </w:pPr>
    <w:rPr/>
  </w:style>
  <w:style w:type="paragraph" w:styleId="Heading">
    <w:name w:val="Heading"/>
    <w:basedOn w:val="Normal"/>
    <w:next w:val="BodyText"/>
    <w:qFormat/>
    <w:pPr>
      <w:keepNext w:val="true"/>
      <w:spacing w:before="240" w:after="283"/>
    </w:pPr>
    <w:rPr>
      <w:rFonts w:ascii="Liberation Sans" w:hAnsi="Liberation Sans"/>
      <w:sz w:val="28"/>
      <w:szCs w:val="28"/>
    </w:rPr>
  </w:style>
  <w:style w:type="paragraph" w:styleId="TableHeading">
    <w:name w:val="Table Heading"/>
    <w:basedOn w:val="TableContents"/>
    <w:qFormat/>
    <w:pPr>
      <w:suppressLineNumbers/>
      <w:jc w:val="center"/>
    </w:pPr>
    <w:rPr>
      <w:b/>
      <w:bCs/>
      <w:sz w:val="18"/>
      <w:szCs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Mobile Device Management Policy</dc:title>
</cp:coreProperties>
</file>

<file path=docProps/custom.xml><?xml version="1.0" encoding="utf-8"?>
<Properties xmlns="http://schemas.openxmlformats.org/officeDocument/2006/custom-properties" xmlns:vt="http://schemas.openxmlformats.org/officeDocument/2006/docPropsVTypes"/>
</file>