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Employee Malware Awareness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POL-13</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explains how employees must help prevent, recognize and report malicious software (malware), and what the Organization does to protect employees and systems from it. Most malware arrives through actions people take - opening an attachment, clicking a link, plugging in a USB drive - so informed employees are a key defense.</w:t>
      </w:r>
    </w:p>
    <w:p>
      <w:pPr>
        <w:pStyle w:val="Heading2"/>
        <w:bidi w:val="0"/>
        <w:jc w:val="left"/>
        <w:rPr/>
      </w:pPr>
      <w:r>
        <w:rPr/>
        <w:t>2. Scope</w:t>
      </w:r>
    </w:p>
    <w:p>
      <w:pPr>
        <w:pStyle w:val="BodyText"/>
        <w:bidi w:val="0"/>
        <w:jc w:val="left"/>
        <w:rPr/>
      </w:pPr>
      <w:r>
        <w:rPr/>
        <w:t>Applies to all employees, contractors, interns, vendors and other third parties who use Organization devices, accounts, email or networks, and to personally owned devices used for work.</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4"/>
        <w:gridCol w:w="8844"/>
      </w:tblGrid>
      <w:tr>
        <w:trPr/>
        <w:tc>
          <w:tcPr>
            <w:tcW w:w="249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4"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Malware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Software designed to harm systems or steal data, including viruses, worms, trojans, ransomware, spyware, keyloggers, rootkits and cryptominers.</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Ransomware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Malware that encrypts or steals data and demands payment.</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Phishing</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Fraudulent message (email, text, call, social media) that tricks people into clicking a link, opening a file or giving up information.</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Trojan</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Malware disguised as legitimate software.</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Removable media</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USB drives, external disks, memory cards and similar storage.</w:t>
            </w:r>
          </w:p>
        </w:tc>
      </w:tr>
      <w:tr>
        <w:trPr/>
        <w:tc>
          <w:tcPr>
            <w:tcW w:w="249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Anti-malware software</w:t>
            </w:r>
          </w:p>
        </w:tc>
        <w:tc>
          <w:tcPr>
            <w:tcW w:w="884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Software that detects and blocks malware (e.g. Microsoft Defender, endpoint detection and response).</w:t>
            </w:r>
          </w:p>
        </w:tc>
      </w:tr>
      <w:tr>
        <w:trPr/>
        <w:tc>
          <w:tcPr>
            <w:tcW w:w="249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Indicator of infection</w:t>
            </w:r>
          </w:p>
        </w:tc>
        <w:tc>
          <w:tcPr>
            <w:tcW w:w="884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Signs a device may be infected: pop-ups, slowness, disabled security tools, unknown programs, files renamed or encrypted, unexpected account lockouts.</w:t>
            </w:r>
          </w:p>
        </w:tc>
      </w:tr>
    </w:tbl>
    <w:p>
      <w:pPr>
        <w:pStyle w:val="Heading2"/>
        <w:bidi w:val="0"/>
        <w:jc w:val="left"/>
        <w:rPr/>
      </w:pPr>
      <w:r>
        <w:rPr/>
        <w:t>4. Employee Responsibilities</w:t>
      </w:r>
    </w:p>
    <w:p>
      <w:pPr>
        <w:pStyle w:val="BodyText"/>
        <w:bidi w:val="0"/>
        <w:ind w:hanging="0" w:left="0" w:right="0"/>
        <w:jc w:val="left"/>
        <w:rPr/>
      </w:pPr>
      <w:r>
        <w:rPr/>
        <w:t xml:space="preserve">4.1 Complete malware and phishing awareness training at hire and annually, and take part in phishing exercises. </w:t>
      </w:r>
      <w:r>
        <w:rPr>
          <w:color w:val="595959"/>
          <w:sz w:val="16"/>
        </w:rPr>
        <w:t>[800-53: AT-2, AT-2(1) | 27002: 6.3 | CIS: 14.1, 14.2]</w:t>
      </w:r>
    </w:p>
    <w:p>
      <w:pPr>
        <w:pStyle w:val="BodyText"/>
        <w:bidi w:val="0"/>
        <w:ind w:hanging="0" w:left="0" w:right="0"/>
        <w:jc w:val="left"/>
        <w:rPr/>
      </w:pPr>
      <w:r>
        <w:rPr/>
        <w:t xml:space="preserve">4.2 Do not open attachments or click links in unexpected messages, even from known senders; verify unexpected requests through a separate, known channel. </w:t>
      </w:r>
      <w:r>
        <w:rPr>
          <w:color w:val="595959"/>
          <w:sz w:val="16"/>
        </w:rPr>
        <w:t>[800-53: AT-2(3), SI-8 | 27002: 6.3, 8.7 | CIS: 14.2]</w:t>
      </w:r>
    </w:p>
    <w:p>
      <w:pPr>
        <w:pStyle w:val="BodyText"/>
        <w:bidi w:val="0"/>
        <w:ind w:hanging="0" w:left="0" w:right="0"/>
        <w:jc w:val="left"/>
        <w:rPr/>
      </w:pPr>
      <w:r>
        <w:rPr/>
        <w:t xml:space="preserve">4.3 Install software only from the Organization's approved sources; never install pirated software, cracks, key generators or unapproved browser extensions. </w:t>
      </w:r>
      <w:r>
        <w:rPr>
          <w:color w:val="595959"/>
          <w:sz w:val="16"/>
        </w:rPr>
        <w:t>[800-53: CM-11, CM-7(5) | 27002: 8.19 | CIS: 2.5, 2.6, 9.4]</w:t>
      </w:r>
    </w:p>
    <w:p>
      <w:pPr>
        <w:pStyle w:val="BodyText"/>
        <w:bidi w:val="0"/>
        <w:ind w:hanging="0" w:left="0" w:right="0"/>
        <w:jc w:val="left"/>
        <w:rPr/>
      </w:pPr>
      <w:r>
        <w:rPr/>
        <w:t xml:space="preserve">4.4 Do not connect unknown USB drives or other removable media; use only Organization-issued media, which is scanned automatically. </w:t>
      </w:r>
      <w:r>
        <w:rPr>
          <w:color w:val="595959"/>
          <w:sz w:val="16"/>
        </w:rPr>
        <w:t>[800-53: MP-7, SI-3 | 27002: 7.10, 8.7 | CIS: 10.3, 10.4]</w:t>
      </w:r>
    </w:p>
    <w:p>
      <w:pPr>
        <w:pStyle w:val="BodyText"/>
        <w:bidi w:val="0"/>
        <w:ind w:hanging="0" w:left="0" w:right="0"/>
        <w:jc w:val="left"/>
        <w:rPr/>
      </w:pPr>
      <w:r>
        <w:rPr/>
        <w:t xml:space="preserve">4.5 Never disable, uninstall or bypass anti-malware software, firewalls or updates, and restart when updates require it. </w:t>
      </w:r>
      <w:r>
        <w:rPr>
          <w:color w:val="595959"/>
          <w:sz w:val="16"/>
        </w:rPr>
        <w:t>[800-53: SI-3, PL-4 | 27002: 8.7 | CIS: 10.1, 10.2]</w:t>
      </w:r>
    </w:p>
    <w:p>
      <w:pPr>
        <w:pStyle w:val="BodyText"/>
        <w:bidi w:val="0"/>
        <w:ind w:hanging="0" w:left="0" w:right="0"/>
        <w:jc w:val="left"/>
        <w:rPr/>
      </w:pPr>
      <w:r>
        <w:rPr/>
        <w:t xml:space="preserve">4.6 Enable macros only in documents from trusted, verified internal sources. </w:t>
      </w:r>
      <w:r>
        <w:rPr>
          <w:color w:val="595959"/>
          <w:sz w:val="16"/>
        </w:rPr>
        <w:t>[800-53: SC-18, CM-7 | 27002: 8.7 | CIS: 10.5]</w:t>
      </w:r>
    </w:p>
    <w:p>
      <w:pPr>
        <w:pStyle w:val="BodyText"/>
        <w:bidi w:val="0"/>
        <w:ind w:hanging="0" w:left="0" w:right="0"/>
        <w:jc w:val="left"/>
        <w:rPr/>
      </w:pPr>
      <w:r>
        <w:rPr/>
        <w:t xml:space="preserve">4.7 If you suspect infection: stop using the device, disconnect it from the network (unplug the cable or turn off Wi-Fi) but do not power it off, and report it immediately to the Help Desk / Security team. Do not try to clean it yourself, and do not forward suspicious files to others. </w:t>
      </w:r>
      <w:r>
        <w:rPr>
          <w:color w:val="595959"/>
          <w:sz w:val="16"/>
        </w:rPr>
        <w:t>[800-53: IR-6, AT-2(4) | 27002: 6.8 | CIS: 14.6, 17.3]</w:t>
      </w:r>
    </w:p>
    <w:p>
      <w:pPr>
        <w:pStyle w:val="BodyText"/>
        <w:bidi w:val="0"/>
        <w:ind w:hanging="0" w:left="0" w:right="0"/>
        <w:jc w:val="left"/>
        <w:rPr/>
      </w:pPr>
      <w:r>
        <w:rPr/>
        <w:t xml:space="preserve">4.8 Report suspicious emails using the 'Report Phishing' button or by forwarding them to the security mailbox. </w:t>
      </w:r>
      <w:r>
        <w:rPr>
          <w:color w:val="595959"/>
          <w:sz w:val="16"/>
        </w:rPr>
        <w:t>[800-53: IR-6, SI-8 | 27002: 6.8 | CIS: 14.6]</w:t>
      </w:r>
    </w:p>
    <w:p>
      <w:pPr>
        <w:pStyle w:val="Heading2"/>
        <w:bidi w:val="0"/>
        <w:jc w:val="left"/>
        <w:rPr/>
      </w:pPr>
      <w:r>
        <w:rPr/>
        <w:t>5. Organization Responsibilities</w:t>
      </w:r>
    </w:p>
    <w:p>
      <w:pPr>
        <w:pStyle w:val="BodyText"/>
        <w:bidi w:val="0"/>
        <w:ind w:hanging="0" w:left="0" w:right="0"/>
        <w:jc w:val="left"/>
        <w:rPr/>
      </w:pPr>
      <w:r>
        <w:rPr/>
        <w:t xml:space="preserve">5.1 Deploy, centrally manage and keep current anti-malware software on all endpoints and servers, with real-time and behavior-based protection and automatic signature updates. </w:t>
      </w:r>
      <w:r>
        <w:rPr>
          <w:color w:val="595959"/>
          <w:sz w:val="16"/>
        </w:rPr>
        <w:t>[800-53: SI-3, SI-3(1) | 27002: 8.7 | CIS: 10.1, 10.2, 10.6, 10.7]</w:t>
      </w:r>
    </w:p>
    <w:p>
      <w:pPr>
        <w:pStyle w:val="BodyText"/>
        <w:bidi w:val="0"/>
        <w:ind w:hanging="0" w:left="0" w:right="0"/>
        <w:jc w:val="left"/>
        <w:rPr/>
      </w:pPr>
      <w:r>
        <w:rPr/>
        <w:t xml:space="preserve">5.2 Filter email and web traffic for malicious attachments, links and sites, and block unnecessary file types. </w:t>
      </w:r>
      <w:r>
        <w:rPr>
          <w:color w:val="595959"/>
          <w:sz w:val="16"/>
        </w:rPr>
        <w:t>[800-53: SI-3, SI-8, SC-7 | 27002: 8.7, 8.23 | CIS: 9.2, 9.3, 9.6, 9.7]</w:t>
      </w:r>
    </w:p>
    <w:p>
      <w:pPr>
        <w:pStyle w:val="BodyText"/>
        <w:bidi w:val="0"/>
        <w:ind w:hanging="0" w:left="0" w:right="0"/>
        <w:jc w:val="left"/>
        <w:rPr/>
      </w:pPr>
      <w:r>
        <w:rPr/>
        <w:t xml:space="preserve">5.3 Disable autorun/autoplay for removable media and scan removable media on connection. </w:t>
      </w:r>
      <w:r>
        <w:rPr>
          <w:color w:val="595959"/>
          <w:sz w:val="16"/>
        </w:rPr>
        <w:t>[800-53: MP-7, SI-3 | 27002: 7.10 | CIS: 10.3, 10.4]</w:t>
      </w:r>
    </w:p>
    <w:p>
      <w:pPr>
        <w:pStyle w:val="BodyText"/>
        <w:bidi w:val="0"/>
        <w:ind w:hanging="0" w:left="0" w:right="0"/>
        <w:jc w:val="left"/>
        <w:rPr/>
      </w:pPr>
      <w:r>
        <w:rPr/>
        <w:t xml:space="preserve">5.4 Enable anti-exploitation features and keep systems patched under the Vulnerability Management Policy. </w:t>
      </w:r>
      <w:r>
        <w:rPr>
          <w:color w:val="595959"/>
          <w:sz w:val="16"/>
        </w:rPr>
        <w:t>[800-53: SI-2, SI-16 | 27002: 8.8 | CIS: 7.3, 10.5]</w:t>
      </w:r>
    </w:p>
    <w:p>
      <w:pPr>
        <w:pStyle w:val="BodyText"/>
        <w:bidi w:val="0"/>
        <w:ind w:hanging="0" w:left="0" w:right="0"/>
        <w:jc w:val="left"/>
        <w:rPr/>
      </w:pPr>
      <w:r>
        <w:rPr/>
        <w:t xml:space="preserve">5.5 Maintain offline or immutable backups so systems can be restored after a ransomware incident. </w:t>
      </w:r>
      <w:r>
        <w:rPr>
          <w:color w:val="595959"/>
          <w:sz w:val="16"/>
        </w:rPr>
        <w:t>[800-53: CP-9 | 27002: 8.13 | CIS: 11.2, 11.4]</w:t>
      </w:r>
    </w:p>
    <w:p>
      <w:pPr>
        <w:pStyle w:val="BodyText"/>
        <w:bidi w:val="0"/>
        <w:ind w:hanging="0" w:left="0" w:right="0"/>
        <w:jc w:val="left"/>
        <w:rPr/>
      </w:pPr>
      <w:r>
        <w:rPr/>
        <w:t xml:space="preserve">5.6 Provide training and a simple, well-publicized way to report suspected malware, and respond to reports under the Incident Response Policy. </w:t>
      </w:r>
      <w:r>
        <w:rPr>
          <w:color w:val="595959"/>
          <w:sz w:val="16"/>
        </w:rPr>
        <w:t>[800-53: AT-2, IR-4, IR-6 | 27002: 5.24, 6.3 | CIS: 14.1, 17.3]</w:t>
      </w:r>
    </w:p>
    <w:p>
      <w:pPr>
        <w:pStyle w:val="BodyText"/>
        <w:bidi w:val="0"/>
        <w:ind w:hanging="0" w:left="0" w:right="0"/>
        <w:jc w:val="left"/>
        <w:rPr/>
      </w:pPr>
      <w:r>
        <w:rPr/>
        <w:t xml:space="preserve">5.7 Monitor endpoints and networks for malware activity, such as connections to known malicious addresses or regular 'beaconing' to unknown servers. </w:t>
      </w:r>
      <w:r>
        <w:rPr>
          <w:color w:val="595959"/>
          <w:sz w:val="16"/>
        </w:rPr>
        <w:t>[800-53: SI-4 | 27002: 8.16 | CIS: 13.1, 13.2]</w:t>
      </w:r>
    </w:p>
    <w:p>
      <w:pPr>
        <w:pStyle w:val="Heading2"/>
        <w:bidi w:val="0"/>
        <w:jc w:val="left"/>
        <w:rPr/>
      </w:pPr>
      <w:r>
        <w:rPr/>
        <w:t>6. Disciplinary Action</w:t>
      </w:r>
    </w:p>
    <w:p>
      <w:pPr>
        <w:pStyle w:val="BodyText"/>
        <w:bidi w:val="0"/>
        <w:ind w:hanging="0" w:left="0" w:right="0"/>
        <w:jc w:val="left"/>
        <w:rPr/>
      </w:pPr>
      <w:r>
        <w:rPr/>
        <w:t xml:space="preserve">6.1 Accidentally triggering malware and reporting it promptly will not lead to disciplinary action - prompt reporting is what limits the damage. Disciplinary action applies to deliberate or repeated violations of this policy, such as disabling security software, installing prohibited software, or failing to report a known infection, following the Compliance and Disciplinary Action section below. </w:t>
      </w:r>
      <w:r>
        <w:rPr>
          <w:color w:val="595959"/>
          <w:sz w:val="16"/>
        </w:rPr>
        <w:t>[800-53: PS-8 | 27002: 6.4]</w:t>
      </w:r>
    </w:p>
    <w:p>
      <w:pPr>
        <w:pStyle w:val="Heading2"/>
        <w:bidi w:val="0"/>
        <w:jc w:val="left"/>
        <w:rPr/>
      </w:pPr>
      <w:r>
        <w:rPr/>
        <w:t>7. Compliance and Disciplinary Action</w:t>
      </w:r>
    </w:p>
    <w:p>
      <w:pPr>
        <w:pStyle w:val="BodyText"/>
        <w:bidi w:val="0"/>
        <w:ind w:hanging="0" w:left="0" w:right="0"/>
        <w:jc w:val="left"/>
        <w:rPr/>
      </w:pPr>
      <w:r>
        <w:rPr/>
        <w:t xml:space="preserve">7.1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7.2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7.3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7.4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8. Exceptions</w:t>
      </w:r>
    </w:p>
    <w:p>
      <w:pPr>
        <w:pStyle w:val="BodyText"/>
        <w:bidi w:val="0"/>
        <w:ind w:hanging="0" w:left="0" w:right="0"/>
        <w:jc w:val="left"/>
        <w:rPr/>
      </w:pPr>
      <w:r>
        <w:rPr/>
        <w:t xml:space="preserve">8.1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8.2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9. Policy Review and Maintenance</w:t>
      </w:r>
    </w:p>
    <w:p>
      <w:pPr>
        <w:pStyle w:val="BodyText"/>
        <w:bidi w:val="0"/>
        <w:ind w:hanging="0" w:left="0" w:right="0"/>
        <w:jc w:val="left"/>
        <w:rPr/>
      </w:pPr>
      <w:r>
        <w:rPr/>
        <w:t xml:space="preserve">9.1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9.2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10.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3"/>
        <w:gridCol w:w="2948"/>
        <w:gridCol w:w="2496"/>
        <w:gridCol w:w="2721"/>
      </w:tblGrid>
      <w:tr>
        <w:trPr/>
        <w:tc>
          <w:tcPr>
            <w:tcW w:w="317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8"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6"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Employee Responsibilities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AT-2, AT-2(1), AT-2(3), AT-2(4), CM-7, CM-7(5), CM-11, IR-6, MP-7, PL-4, SC-18, SI-3, SI-8</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6.3, 6.8, 7.10, 8.7, 8.19</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2.5, 2.6, 9.4, 10.1, 10.2, 10.3, 10.4, 10.5, 14.1, 14.2, 14.6, 17.3</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Organization Responsibilities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AT-2, CP-9, IR-4, IR-6, MP-7, SC-7, SI-2, SI-3, SI-3(1), SI-4, SI-8, SI-16</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5.24, 6.3, 7.10, 8.7, 8.8, 8.13, 8.16, 8.23</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7.3, 9.2, 9.3, 9.6, 9.7, 10.1, 10.2, 10.3, 10.4, 10.5, 10.6, 10.7, 11.2, 11.4, 13.1, 13.2, 14.1, 17.3</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PS-8</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6.4</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8"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6"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1"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8"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11.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spacing w:before="0" w:after="0"/>
        <w:ind w:hanging="283" w:left="709"/>
        <w:jc w:val="left"/>
        <w:rPr/>
      </w:pPr>
      <w:r>
        <w:rPr/>
        <w:t xml:space="preserve">NIST SP 800-83 Rev. 1, Guide to Malware Incident Prevention and Handling for Desktops and Laptops </w:t>
      </w:r>
    </w:p>
    <w:p>
      <w:pPr>
        <w:pStyle w:val="BodyText"/>
        <w:numPr>
          <w:ilvl w:val="0"/>
          <w:numId w:val="1"/>
        </w:numPr>
        <w:tabs>
          <w:tab w:val="clear" w:pos="1134"/>
          <w:tab w:val="left" w:pos="709" w:leader="none"/>
        </w:tabs>
        <w:bidi w:val="0"/>
        <w:spacing w:before="0" w:after="0"/>
        <w:ind w:hanging="283" w:left="709"/>
        <w:jc w:val="left"/>
        <w:rPr/>
      </w:pPr>
      <w:r>
        <w:rPr/>
        <w:t xml:space="preserve">NIST SP 800-50 Rev. 1, Building a Cybersecurity and Privacy Learning Program </w:t>
      </w:r>
    </w:p>
    <w:p>
      <w:pPr>
        <w:pStyle w:val="BodyText"/>
        <w:numPr>
          <w:ilvl w:val="0"/>
          <w:numId w:val="1"/>
        </w:numPr>
        <w:tabs>
          <w:tab w:val="clear" w:pos="1134"/>
          <w:tab w:val="left" w:pos="709" w:leader="none"/>
        </w:tabs>
        <w:bidi w:val="0"/>
        <w:ind w:hanging="283" w:left="709"/>
        <w:jc w:val="left"/>
        <w:rPr/>
      </w:pPr>
      <w:r>
        <w:rPr/>
        <w:t xml:space="preserve">CISA #StopRansomware Guide </w:t>
      </w:r>
    </w:p>
    <w:p>
      <w:pPr>
        <w:pStyle w:val="Heading2"/>
        <w:bidi w:val="0"/>
        <w:jc w:val="left"/>
        <w:rPr/>
      </w:pPr>
      <w:r>
        <w:rPr/>
        <w:t>12.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Employee Malware Awareness Policy</dc:title>
</cp:coreProperties>
</file>

<file path=docProps/custom.xml><?xml version="1.0" encoding="utf-8"?>
<Properties xmlns="http://schemas.openxmlformats.org/officeDocument/2006/custom-properties" xmlns:vt="http://schemas.openxmlformats.org/officeDocument/2006/docPropsVTypes"/>
</file>