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Password and Authentication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POL-09</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sets the requirements for creating, protecting and changing passwords and other authenticators, to prevent unauthorized access through weak, reused or stolen credentials.</w:t>
      </w:r>
    </w:p>
    <w:p>
      <w:pPr>
        <w:pStyle w:val="Heading2"/>
        <w:bidi w:val="0"/>
        <w:jc w:val="left"/>
        <w:rPr/>
      </w:pPr>
      <w:r>
        <w:rPr/>
        <w:t>2. Scope</w:t>
      </w:r>
    </w:p>
    <w:p>
      <w:pPr>
        <w:pStyle w:val="BodyText"/>
        <w:bidi w:val="0"/>
        <w:jc w:val="left"/>
        <w:rPr/>
      </w:pPr>
      <w:r>
        <w:rPr/>
        <w:t>Applies to all accounts on all Organization systems (user, privileged, service, network device and application accounts) and to all employees, contractors, interns, vendors and other third parties.</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4"/>
        <w:gridCol w:w="8844"/>
      </w:tblGrid>
      <w:tr>
        <w:trPr/>
        <w:tc>
          <w:tcPr>
            <w:tcW w:w="249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Password</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Secret string of characters used to authenticate.</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Passphrase</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Long password made of several words, easier to remember and harder to guess.</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MFA</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Multi-factor authentication: two or more factors (know / have / are).</w:t>
            </w:r>
          </w:p>
        </w:tc>
      </w:tr>
      <w:tr>
        <w:trPr/>
        <w:tc>
          <w:tcPr>
            <w:tcW w:w="24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Compromised password</w:t>
            </w:r>
          </w:p>
        </w:tc>
        <w:tc>
          <w:tcPr>
            <w:tcW w:w="88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 password that is known or suspected to be exposed, guessed or appearing in a breach list.</w:t>
            </w:r>
          </w:p>
        </w:tc>
      </w:tr>
    </w:tbl>
    <w:p>
      <w:pPr>
        <w:pStyle w:val="Heading2"/>
        <w:bidi w:val="0"/>
        <w:jc w:val="left"/>
        <w:rPr/>
      </w:pPr>
      <w:r>
        <w:rPr/>
        <w:t>4. Password Requirements</w:t>
      </w:r>
    </w:p>
    <w:p>
      <w:pPr>
        <w:pStyle w:val="BodyText"/>
        <w:bidi w:val="0"/>
        <w:ind w:hanging="0" w:left="0" w:right="0"/>
        <w:jc w:val="left"/>
        <w:rPr/>
      </w:pPr>
      <w:r>
        <w:rPr/>
        <w:t xml:space="preserve">4.1 Minimum length 14 characters (passphrases encouraged), using at least 3 of: uppercase, lowercase, digits, symbols. </w:t>
      </w:r>
      <w:r>
        <w:rPr>
          <w:color w:val="595959"/>
          <w:sz w:val="16"/>
        </w:rPr>
        <w:t>[800-53: IA-5(1) | 27002: 5.17 | CIS: 5.2]</w:t>
      </w:r>
    </w:p>
    <w:p>
      <w:pPr>
        <w:pStyle w:val="BodyText"/>
        <w:bidi w:val="0"/>
        <w:ind w:hanging="0" w:left="0" w:right="0"/>
        <w:jc w:val="left"/>
        <w:rPr/>
      </w:pPr>
      <w:r>
        <w:rPr/>
        <w:t xml:space="preserve">4.2 Passwords are checked against lists of common, dictionary and breached passwords and may not contain the user's name or the Organization's name. </w:t>
      </w:r>
      <w:r>
        <w:rPr>
          <w:color w:val="595959"/>
          <w:sz w:val="16"/>
        </w:rPr>
        <w:t>[800-53: IA-5(1) | 27002: 5.17 | CIS: 5.2]</w:t>
      </w:r>
    </w:p>
    <w:p>
      <w:pPr>
        <w:pStyle w:val="BodyText"/>
        <w:bidi w:val="0"/>
        <w:ind w:hanging="0" w:left="0" w:right="0"/>
        <w:jc w:val="left"/>
        <w:rPr/>
      </w:pPr>
      <w:r>
        <w:rPr/>
        <w:t xml:space="preserve">4.3 The last 5 passwords may not be reused. Passwords must be unique to each account and never reused between Organization and personal accounts. </w:t>
      </w:r>
      <w:r>
        <w:rPr>
          <w:color w:val="595959"/>
          <w:sz w:val="16"/>
        </w:rPr>
        <w:t>[800-53: IA-5(1) | 27002: 5.17 | CIS: 5.2]</w:t>
      </w:r>
    </w:p>
    <w:p>
      <w:pPr>
        <w:pStyle w:val="BodyText"/>
        <w:bidi w:val="0"/>
        <w:ind w:hanging="0" w:left="0" w:right="0"/>
        <w:jc w:val="left"/>
        <w:rPr/>
      </w:pPr>
      <w:r>
        <w:rPr/>
        <w:t xml:space="preserve">4.4 Passwords expire after at most 90 days, and must be changed immediately when compromise is suspected. Administrators may force a change at any time. </w:t>
      </w:r>
      <w:r>
        <w:rPr>
          <w:color w:val="595959"/>
          <w:sz w:val="16"/>
        </w:rPr>
        <w:t>[800-53: IA-5(1) | 27002: 5.17 | CIS: 5.2]</w:t>
      </w:r>
    </w:p>
    <w:p>
      <w:pPr>
        <w:pStyle w:val="BodyText"/>
        <w:bidi w:val="0"/>
        <w:ind w:hanging="0" w:left="0" w:right="0"/>
        <w:jc w:val="left"/>
        <w:rPr/>
      </w:pPr>
      <w:r>
        <w:rPr/>
        <w:t xml:space="preserve">4.5 Default and vendor-supplied passwords are changed before a system goes into service. </w:t>
      </w:r>
      <w:r>
        <w:rPr>
          <w:color w:val="595959"/>
          <w:sz w:val="16"/>
        </w:rPr>
        <w:t>[800-53: IA-5 | 27002: 5.17 | CIS: 4.7]</w:t>
      </w:r>
    </w:p>
    <w:p>
      <w:pPr>
        <w:pStyle w:val="Heading2"/>
        <w:bidi w:val="0"/>
        <w:jc w:val="left"/>
        <w:rPr/>
      </w:pPr>
      <w:r>
        <w:rPr/>
        <w:t>5. Privileged and Service Accounts</w:t>
      </w:r>
    </w:p>
    <w:p>
      <w:pPr>
        <w:pStyle w:val="BodyText"/>
        <w:bidi w:val="0"/>
        <w:ind w:hanging="0" w:left="0" w:right="0"/>
        <w:jc w:val="left"/>
        <w:rPr/>
      </w:pPr>
      <w:r>
        <w:rPr/>
        <w:t xml:space="preserve">5.1 Privileged accounts use a password of at least 16 characters plus MFA. </w:t>
      </w:r>
      <w:r>
        <w:rPr>
          <w:color w:val="595959"/>
          <w:sz w:val="16"/>
        </w:rPr>
        <w:t>[800-53: IA-2(1), IA-5(1) | 27002: 8.2, 8.5 | CIS: 5.4, 6.5]</w:t>
      </w:r>
    </w:p>
    <w:p>
      <w:pPr>
        <w:pStyle w:val="BodyText"/>
        <w:bidi w:val="0"/>
        <w:ind w:hanging="0" w:left="0" w:right="0"/>
        <w:jc w:val="left"/>
        <w:rPr/>
      </w:pPr>
      <w:r>
        <w:rPr/>
        <w:t xml:space="preserve">5.2 Service account passwords are random (at least 20 characters), stored in an approved vault, and rotated at least annually and whenever someone with access leaves. </w:t>
      </w:r>
      <w:r>
        <w:rPr>
          <w:color w:val="595959"/>
          <w:sz w:val="16"/>
        </w:rPr>
        <w:t>[800-53: IA-5, IA-5(1) | 27002: 5.17 | CIS: 5.5]</w:t>
      </w:r>
    </w:p>
    <w:p>
      <w:pPr>
        <w:pStyle w:val="Heading2"/>
        <w:bidi w:val="0"/>
        <w:jc w:val="left"/>
        <w:rPr/>
      </w:pPr>
      <w:r>
        <w:rPr/>
        <w:t>6. Protection of Passwords</w:t>
      </w:r>
    </w:p>
    <w:p>
      <w:pPr>
        <w:pStyle w:val="BodyText"/>
        <w:bidi w:val="0"/>
        <w:ind w:hanging="0" w:left="0" w:right="0"/>
        <w:jc w:val="left"/>
        <w:rPr/>
      </w:pPr>
      <w:r>
        <w:rPr/>
        <w:t xml:space="preserve">6.1 Passwords are never shared, written down where others can see them, sent by email or chat, or stored in plain text. An Organization-approved password manager may be used. </w:t>
      </w:r>
      <w:r>
        <w:rPr>
          <w:color w:val="595959"/>
          <w:sz w:val="16"/>
        </w:rPr>
        <w:t>[800-53: IA-5, IA-5(1) | 27002: 5.17 | CIS: 5.2]</w:t>
      </w:r>
    </w:p>
    <w:p>
      <w:pPr>
        <w:pStyle w:val="BodyText"/>
        <w:bidi w:val="0"/>
        <w:ind w:hanging="0" w:left="0" w:right="0"/>
        <w:jc w:val="left"/>
        <w:rPr/>
      </w:pPr>
      <w:r>
        <w:rPr/>
        <w:t xml:space="preserve">6.2 Systems store passwords only as salted, slow cryptographic hashes and transmit them only over encrypted connections. </w:t>
      </w:r>
      <w:r>
        <w:rPr>
          <w:color w:val="595959"/>
          <w:sz w:val="16"/>
        </w:rPr>
        <w:t>[800-53: IA-5(1), SC-8 | 27002: 5.17, 8.24 | CIS: 3.10]</w:t>
      </w:r>
    </w:p>
    <w:p>
      <w:pPr>
        <w:pStyle w:val="BodyText"/>
        <w:bidi w:val="0"/>
        <w:ind w:hanging="0" w:left="0" w:right="0"/>
        <w:jc w:val="left"/>
        <w:rPr/>
      </w:pPr>
      <w:r>
        <w:rPr/>
        <w:t xml:space="preserve">6.3 Authentication feedback is obscured, and systems display only generic errors. </w:t>
      </w:r>
      <w:r>
        <w:rPr>
          <w:color w:val="595959"/>
          <w:sz w:val="16"/>
        </w:rPr>
        <w:t>[800-53: IA-6 | 27002: 8.5]</w:t>
      </w:r>
    </w:p>
    <w:p>
      <w:pPr>
        <w:pStyle w:val="Heading2"/>
        <w:bidi w:val="0"/>
        <w:jc w:val="left"/>
        <w:rPr/>
      </w:pPr>
      <w:r>
        <w:rPr/>
        <w:t>7. Failed Logons and MFA</w:t>
      </w:r>
    </w:p>
    <w:p>
      <w:pPr>
        <w:pStyle w:val="BodyText"/>
        <w:bidi w:val="0"/>
        <w:ind w:hanging="0" w:left="0" w:right="0"/>
        <w:jc w:val="left"/>
        <w:rPr/>
      </w:pPr>
      <w:r>
        <w:rPr/>
        <w:t xml:space="preserve">7.1 After 10 consecutive failed logons, the system delays or locks the account for at least 15 minutes. Where a lockout could be abused to deny service to a critical account, rate limiting and alerting on failed logons are used instead as a documented compensating control. </w:t>
      </w:r>
      <w:r>
        <w:rPr>
          <w:color w:val="595959"/>
          <w:sz w:val="16"/>
        </w:rPr>
        <w:t>[800-53: AC-7 | 27002: 8.5 | CIS: 8.5]</w:t>
      </w:r>
    </w:p>
    <w:p>
      <w:pPr>
        <w:pStyle w:val="BodyText"/>
        <w:bidi w:val="0"/>
        <w:ind w:hanging="0" w:left="0" w:right="0"/>
        <w:jc w:val="left"/>
        <w:rPr/>
      </w:pPr>
      <w:r>
        <w:rPr/>
        <w:t xml:space="preserve">7.2 MFA is required for remote access, privileged access and externally exposed applications. </w:t>
      </w:r>
      <w:r>
        <w:rPr>
          <w:color w:val="595959"/>
          <w:sz w:val="16"/>
        </w:rPr>
        <w:t>[800-53: IA-2(1), IA-2(2) | 27002: 8.5 | CIS: 6.3, 6.4, 6.5]</w:t>
      </w:r>
    </w:p>
    <w:p>
      <w:pPr>
        <w:pStyle w:val="Heading2"/>
        <w:bidi w:val="0"/>
        <w:jc w:val="left"/>
        <w:rPr/>
      </w:pPr>
      <w:r>
        <w:rPr/>
        <w:t>8. Third Parties</w:t>
      </w:r>
    </w:p>
    <w:p>
      <w:pPr>
        <w:pStyle w:val="BodyText"/>
        <w:bidi w:val="0"/>
        <w:ind w:hanging="0" w:left="0" w:right="0"/>
        <w:jc w:val="left"/>
        <w:rPr/>
      </w:pPr>
      <w:r>
        <w:rPr/>
        <w:t xml:space="preserve">8.1 Vendors and contractors with access follow this policy and report suspected credential compromise immediately. </w:t>
      </w:r>
      <w:r>
        <w:rPr>
          <w:color w:val="595959"/>
          <w:sz w:val="16"/>
        </w:rPr>
        <w:t>[800-53: PS-7, SA-9 | 27002: 5.20 | CIS: 15.4]</w:t>
      </w:r>
    </w:p>
    <w:p>
      <w:pPr>
        <w:pStyle w:val="Heading2"/>
        <w:bidi w:val="0"/>
        <w:jc w:val="left"/>
        <w:rPr/>
      </w:pPr>
      <w:r>
        <w:rPr/>
        <w:t>9. Compliance and Disciplinary Action</w:t>
      </w:r>
    </w:p>
    <w:p>
      <w:pPr>
        <w:pStyle w:val="BodyText"/>
        <w:bidi w:val="0"/>
        <w:ind w:hanging="0" w:left="0" w:right="0"/>
        <w:jc w:val="left"/>
        <w:rPr/>
      </w:pPr>
      <w:r>
        <w:rPr/>
        <w:t xml:space="preserve">9.1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9.2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9.3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9.4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10. Exceptions</w:t>
      </w:r>
    </w:p>
    <w:p>
      <w:pPr>
        <w:pStyle w:val="BodyText"/>
        <w:bidi w:val="0"/>
        <w:ind w:hanging="0" w:left="0" w:right="0"/>
        <w:jc w:val="left"/>
        <w:rPr/>
      </w:pPr>
      <w:r>
        <w:rPr/>
        <w:t xml:space="preserve">10.1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10.2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11. Policy Review and Maintenance</w:t>
      </w:r>
    </w:p>
    <w:p>
      <w:pPr>
        <w:pStyle w:val="BodyText"/>
        <w:bidi w:val="0"/>
        <w:ind w:hanging="0" w:left="0" w:right="0"/>
        <w:jc w:val="left"/>
        <w:rPr/>
      </w:pPr>
      <w:r>
        <w:rPr/>
        <w:t xml:space="preserve">11.1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11.2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12.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4"/>
        <w:gridCol w:w="2948"/>
        <w:gridCol w:w="2495"/>
        <w:gridCol w:w="2721"/>
      </w:tblGrid>
      <w:tr>
        <w:trPr/>
        <w:tc>
          <w:tcPr>
            <w:tcW w:w="317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Password Requirements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IA-5, IA-5(1)</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5.17</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4.7, 5.2</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Privileged and Service Accounts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IA-2(1), IA-5, IA-5(1)</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5.17, 8.2, 8.5</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5.4, 5.5, 6.5</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Protection of Passwords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IA-5, IA-5(1), IA-6, SC-8</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5.17, 8.5, 8.24</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3.10, 5.2</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Failed Logons and MFA</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AC-7, IA-2(1), IA-2(2)</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8.5</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6.3, 6.4, 6.5, 8.5</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Third Parties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PS-7, SA-9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13.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ind w:hanging="283" w:left="709"/>
        <w:jc w:val="left"/>
        <w:rPr/>
      </w:pPr>
      <w:r>
        <w:rPr/>
        <w:t xml:space="preserve">NIST SP 800-63B, Digital Identity Guidelines: Authentication and Lifecycle Management </w:t>
      </w:r>
    </w:p>
    <w:p>
      <w:pPr>
        <w:pStyle w:val="Heading2"/>
        <w:bidi w:val="0"/>
        <w:jc w:val="left"/>
        <w:rPr/>
      </w:pPr>
      <w:r>
        <w:rPr/>
        <w:t>14.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Password and Authentication Policy</dc:title>
</cp:coreProperties>
</file>

<file path=docProps/custom.xml><?xml version="1.0" encoding="utf-8"?>
<Properties xmlns="http://schemas.openxmlformats.org/officeDocument/2006/custom-properties" xmlns:vt="http://schemas.openxmlformats.org/officeDocument/2006/docPropsVTypes"/>
</file>