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Remote Access Policy</w:t>
      </w:r>
    </w:p>
    <w:tbl>
      <w:tblPr>
        <w:tblW w:w="5000" w:type="pct"/>
        <w:jc w:val="left"/>
        <w:tblInd w:w="-7" w:type="dxa"/>
        <w:tblLayout w:type="fixed"/>
        <w:tblCellMar>
          <w:top w:w="45" w:type="dxa"/>
          <w:left w:w="45" w:type="dxa"/>
          <w:bottom w:w="45" w:type="dxa"/>
          <w:right w:w="45" w:type="dxa"/>
        </w:tblCellMar>
      </w:tblPr>
      <w:tblGrid>
        <w:gridCol w:w="2040"/>
        <w:gridCol w:w="3629"/>
        <w:gridCol w:w="2040"/>
        <w:gridCol w:w="3629"/>
      </w:tblGrid>
      <w:tr>
        <w:trPr/>
        <w:tc>
          <w:tcPr>
            <w:tcW w:w="204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Organization</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[Company name]</w:t>
            </w:r>
          </w:p>
        </w:tc>
        <w:tc>
          <w:tcPr>
            <w:tcW w:w="2040"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Document ID</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POL-10</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Effective date</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[Date]</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Policy owner</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Chief Information Security Officer (CISO)</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Approved by</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[Name, Title]</w:t>
            </w:r>
          </w:p>
        </w:tc>
      </w:tr>
      <w:tr>
        <w:trPr/>
        <w:tc>
          <w:tcPr>
            <w:tcW w:w="2040" w:type="dxa"/>
            <w:tcBorders>
              <w:left w:val="single" w:sz="6"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Review frequency</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At least annually, and after any significant incident or change</w:t>
            </w:r>
          </w:p>
        </w:tc>
        <w:tc>
          <w:tcPr>
            <w:tcW w:w="2040" w:type="dxa"/>
            <w:tcBorders>
              <w:left w:val="single" w:sz="2"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Classification</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Internal</w:t>
            </w:r>
          </w:p>
        </w:tc>
      </w:tr>
    </w:tbl>
    <w:p>
      <w:pPr>
        <w:pStyle w:val="Heading2"/>
        <w:bidi w:val="0"/>
        <w:jc w:val="left"/>
        <w:rPr/>
      </w:pPr>
      <w:r>
        <w:rPr/>
        <w:t>1. Purpose</w:t>
      </w:r>
    </w:p>
    <w:p>
      <w:pPr>
        <w:pStyle w:val="BodyText"/>
        <w:bidi w:val="0"/>
        <w:jc w:val="left"/>
        <w:rPr/>
      </w:pPr>
      <w:r>
        <w:rPr/>
        <w:t>This policy defines the requirements for securely connecting to Organization networks and systems from outside Organization facilities.</w:t>
      </w:r>
    </w:p>
    <w:p>
      <w:pPr>
        <w:pStyle w:val="Heading2"/>
        <w:bidi w:val="0"/>
        <w:jc w:val="left"/>
        <w:rPr/>
      </w:pPr>
      <w:r>
        <w:rPr/>
        <w:t>2. Scope</w:t>
      </w:r>
    </w:p>
    <w:p>
      <w:pPr>
        <w:pStyle w:val="BodyText"/>
        <w:bidi w:val="0"/>
        <w:jc w:val="left"/>
        <w:rPr/>
      </w:pPr>
      <w:r>
        <w:rPr/>
        <w:t>Applies to all remote connections to Organization resources (VPN, remote desktop, SSH, remote administration tools, cloud consoles) and to all employees, contractors, interns, vendors and other third parties who use them.</w:t>
      </w:r>
    </w:p>
    <w:p>
      <w:pPr>
        <w:pStyle w:val="Heading2"/>
        <w:bidi w:val="0"/>
        <w:jc w:val="left"/>
        <w:rPr/>
      </w:pPr>
      <w:r>
        <w:rPr/>
        <w:t>3. Definitions</w:t>
      </w:r>
    </w:p>
    <w:tbl>
      <w:tblPr>
        <w:tblW w:w="5000" w:type="pct"/>
        <w:jc w:val="left"/>
        <w:tblInd w:w="-7" w:type="dxa"/>
        <w:tblLayout w:type="fixed"/>
        <w:tblCellMar>
          <w:top w:w="45" w:type="dxa"/>
          <w:left w:w="45" w:type="dxa"/>
          <w:bottom w:w="45" w:type="dxa"/>
          <w:right w:w="45" w:type="dxa"/>
        </w:tblCellMar>
      </w:tblPr>
      <w:tblGrid>
        <w:gridCol w:w="2494"/>
        <w:gridCol w:w="8844"/>
      </w:tblGrid>
      <w:tr>
        <w:trPr/>
        <w:tc>
          <w:tcPr>
            <w:tcW w:w="249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Term</w:t>
            </w:r>
          </w:p>
        </w:tc>
        <w:tc>
          <w:tcPr>
            <w:tcW w:w="8844"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Definition</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Remote access</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Access to Organization systems from an external network.</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VPN</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Virtual Private Network: encrypted tunnel between a remote device and the Organization network.</w:t>
            </w:r>
          </w:p>
        </w:tc>
      </w:tr>
      <w:tr>
        <w:trPr/>
        <w:tc>
          <w:tcPr>
            <w:tcW w:w="249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Managed access point</w:t>
            </w:r>
          </w:p>
        </w:tc>
        <w:tc>
          <w:tcPr>
            <w:tcW w:w="884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Approved, monitored entry point for remote access (e.g. the VPN gateway).</w:t>
            </w:r>
          </w:p>
        </w:tc>
      </w:tr>
    </w:tbl>
    <w:p>
      <w:pPr>
        <w:pStyle w:val="Heading2"/>
        <w:bidi w:val="0"/>
        <w:jc w:val="left"/>
        <w:rPr/>
      </w:pPr>
      <w:r>
        <w:rPr/>
        <w:t>4. Authorization</w:t>
      </w:r>
    </w:p>
    <w:p>
      <w:pPr>
        <w:pStyle w:val="BodyText"/>
        <w:bidi w:val="0"/>
        <w:ind w:hanging="0" w:left="0" w:right="0"/>
        <w:jc w:val="left"/>
        <w:rPr/>
      </w:pPr>
      <w:r>
        <w:rPr/>
        <w:t xml:space="preserve">4.1 Remote access is granted only with written approval from the user's manager and IT, for a documented need. </w:t>
      </w:r>
      <w:r>
        <w:rPr>
          <w:color w:val="595959"/>
          <w:sz w:val="16"/>
        </w:rPr>
        <w:t>[800-53: AC-17 | 27002: 6.7, 5.15 | CIS: 6.1]</w:t>
      </w:r>
    </w:p>
    <w:p>
      <w:pPr>
        <w:pStyle w:val="Heading2"/>
        <w:bidi w:val="0"/>
        <w:jc w:val="left"/>
        <w:rPr/>
      </w:pPr>
      <w:r>
        <w:rPr/>
        <w:t>5. Technical Requirements</w:t>
      </w:r>
    </w:p>
    <w:p>
      <w:pPr>
        <w:pStyle w:val="BodyText"/>
        <w:bidi w:val="0"/>
        <w:ind w:hanging="0" w:left="0" w:right="0"/>
        <w:jc w:val="left"/>
        <w:rPr/>
      </w:pPr>
      <w:r>
        <w:rPr/>
        <w:t xml:space="preserve">5.1 Remote access uses only Organization-approved, managed access points (VPN gateway or bastion host); direct exposure of RDP, SSH or administrative interfaces to the internet is prohibited. </w:t>
      </w:r>
      <w:r>
        <w:rPr>
          <w:color w:val="595959"/>
          <w:sz w:val="16"/>
        </w:rPr>
        <w:t>[800-53: AC-17(3) | 27002: 8.20, 8.21 | CIS: 12.7]</w:t>
      </w:r>
    </w:p>
    <w:p>
      <w:pPr>
        <w:pStyle w:val="BodyText"/>
        <w:bidi w:val="0"/>
        <w:ind w:hanging="0" w:left="0" w:right="0"/>
        <w:jc w:val="left"/>
        <w:rPr/>
      </w:pPr>
      <w:r>
        <w:rPr/>
        <w:t xml:space="preserve">5.2 All remote sessions are encrypted using current TLS, IPsec or SSH protocols. </w:t>
      </w:r>
      <w:r>
        <w:rPr>
          <w:color w:val="595959"/>
          <w:sz w:val="16"/>
        </w:rPr>
        <w:t>[800-53: AC-17(2), SC-8 | 27002: 8.24 | CIS: 3.10, 12.7]</w:t>
      </w:r>
    </w:p>
    <w:p>
      <w:pPr>
        <w:pStyle w:val="BodyText"/>
        <w:bidi w:val="0"/>
        <w:ind w:hanging="0" w:left="0" w:right="0"/>
        <w:jc w:val="left"/>
        <w:rPr/>
      </w:pPr>
      <w:r>
        <w:rPr/>
        <w:t xml:space="preserve">5.3 MFA is required for all remote access. </w:t>
      </w:r>
      <w:r>
        <w:rPr>
          <w:color w:val="595959"/>
          <w:sz w:val="16"/>
        </w:rPr>
        <w:t>[800-53: IA-2(1), IA-2(2) | 27002: 8.5 | CIS: 6.4]</w:t>
      </w:r>
    </w:p>
    <w:p>
      <w:pPr>
        <w:pStyle w:val="BodyText"/>
        <w:bidi w:val="0"/>
        <w:ind w:hanging="0" w:left="0" w:right="0"/>
        <w:jc w:val="left"/>
        <w:rPr/>
      </w:pPr>
      <w:r>
        <w:rPr/>
        <w:t xml:space="preserve">5.4 Remote administration requires a separate privileged account and is restricted to authorized administrators. </w:t>
      </w:r>
      <w:r>
        <w:rPr>
          <w:color w:val="595959"/>
          <w:sz w:val="16"/>
        </w:rPr>
        <w:t>[800-53: AC-17(4), AC-6(2) | 27002: 8.2 | CIS: 5.4]</w:t>
      </w:r>
    </w:p>
    <w:p>
      <w:pPr>
        <w:pStyle w:val="BodyText"/>
        <w:bidi w:val="0"/>
        <w:ind w:hanging="0" w:left="0" w:right="0"/>
        <w:jc w:val="left"/>
        <w:rPr/>
      </w:pPr>
      <w:r>
        <w:rPr/>
        <w:t xml:space="preserve">5.5 Idle remote sessions disconnect after 30 minutes; sessions end at a maximum of 12 hours. </w:t>
      </w:r>
      <w:r>
        <w:rPr>
          <w:color w:val="595959"/>
          <w:sz w:val="16"/>
        </w:rPr>
        <w:t>[800-53: AC-12, SC-10 | 27002: 8.5 | CIS: 4.3]</w:t>
      </w:r>
    </w:p>
    <w:p>
      <w:pPr>
        <w:pStyle w:val="Heading2"/>
        <w:bidi w:val="0"/>
        <w:jc w:val="left"/>
        <w:rPr/>
      </w:pPr>
      <w:r>
        <w:rPr/>
        <w:t>6. Endpoint Requirements</w:t>
      </w:r>
    </w:p>
    <w:p>
      <w:pPr>
        <w:pStyle w:val="BodyText"/>
        <w:bidi w:val="0"/>
        <w:ind w:hanging="0" w:left="0" w:right="0"/>
        <w:jc w:val="left"/>
        <w:rPr/>
      </w:pPr>
      <w:r>
        <w:rPr/>
        <w:t xml:space="preserve">6.1 Devices used for remote access are Organization-managed or meet the Organization's endpoint requirements: supported and patched OS, active anti-malware, host firewall, disk encryption and screen lock. </w:t>
      </w:r>
      <w:r>
        <w:rPr>
          <w:color w:val="595959"/>
          <w:sz w:val="16"/>
        </w:rPr>
        <w:t>[800-53: AC-17, AC-20 | 27002: 6.7, 8.1 | CIS: 4.5, 10.1, 3.6]</w:t>
      </w:r>
    </w:p>
    <w:p>
      <w:pPr>
        <w:pStyle w:val="BodyText"/>
        <w:bidi w:val="0"/>
        <w:ind w:hanging="0" w:left="0" w:right="0"/>
        <w:jc w:val="left"/>
        <w:rPr/>
      </w:pPr>
      <w:r>
        <w:rPr/>
        <w:t xml:space="preserve">6.2 Split tunneling is disabled unless approved as an exception. </w:t>
      </w:r>
      <w:r>
        <w:rPr>
          <w:color w:val="595959"/>
          <w:sz w:val="16"/>
        </w:rPr>
        <w:t>[800-53: SC-7(7) | 27002: 8.20 | CIS: 12.7]</w:t>
      </w:r>
    </w:p>
    <w:p>
      <w:pPr>
        <w:pStyle w:val="Heading2"/>
        <w:bidi w:val="0"/>
        <w:jc w:val="left"/>
        <w:rPr/>
      </w:pPr>
      <w:r>
        <w:rPr/>
        <w:t>7. Monitoring and Termination</w:t>
      </w:r>
    </w:p>
    <w:p>
      <w:pPr>
        <w:pStyle w:val="BodyText"/>
        <w:bidi w:val="0"/>
        <w:ind w:hanging="0" w:left="0" w:right="0"/>
        <w:jc w:val="left"/>
        <w:rPr/>
      </w:pPr>
      <w:r>
        <w:rPr/>
        <w:t xml:space="preserve">7.1 Remote access sessions are logged and monitored for unusual activity. </w:t>
      </w:r>
      <w:r>
        <w:rPr>
          <w:color w:val="595959"/>
          <w:sz w:val="16"/>
        </w:rPr>
        <w:t>[800-53: AC-17(1), AU-2 | 27002: 8.15, 8.16 | CIS: 8.2]</w:t>
      </w:r>
    </w:p>
    <w:p>
      <w:pPr>
        <w:pStyle w:val="BodyText"/>
        <w:bidi w:val="0"/>
        <w:ind w:hanging="0" w:left="0" w:right="0"/>
        <w:jc w:val="left"/>
        <w:rPr/>
      </w:pPr>
      <w:r>
        <w:rPr/>
        <w:t xml:space="preserve">7.2 Remote access is revoked immediately when no longer needed, on termination, or on violation of this policy. </w:t>
      </w:r>
      <w:r>
        <w:rPr>
          <w:color w:val="595959"/>
          <w:sz w:val="16"/>
        </w:rPr>
        <w:t>[800-53: AC-2, PS-4 | 27002: 5.18, 6.5 | CIS: 6.2]</w:t>
      </w:r>
    </w:p>
    <w:p>
      <w:pPr>
        <w:pStyle w:val="Heading2"/>
        <w:bidi w:val="0"/>
        <w:jc w:val="left"/>
        <w:rPr/>
      </w:pPr>
      <w:r>
        <w:rPr/>
        <w:t>8. Compliance and Disciplinary Action</w:t>
      </w:r>
    </w:p>
    <w:p>
      <w:pPr>
        <w:pStyle w:val="BodyText"/>
        <w:bidi w:val="0"/>
        <w:ind w:hanging="0" w:left="0" w:right="0"/>
        <w:jc w:val="left"/>
        <w:rPr/>
      </w:pPr>
      <w:r>
        <w:rPr/>
        <w:t xml:space="preserve">8.1 Compliance with this document is mandatory for everyone in scope. Compliance is verified through technical monitoring, audits and management review. </w:t>
      </w:r>
      <w:r>
        <w:rPr>
          <w:color w:val="595959"/>
          <w:sz w:val="16"/>
        </w:rPr>
        <w:t>[800-53: CA-2, CA-7 | 27002: 5.36 | CIS: 17.9]</w:t>
      </w:r>
    </w:p>
    <w:p>
      <w:pPr>
        <w:pStyle w:val="BodyText"/>
        <w:bidi w:val="0"/>
        <w:ind w:hanging="0" w:left="0" w:right="0"/>
        <w:jc w:val="left"/>
        <w:rPr/>
      </w:pPr>
      <w:r>
        <w:rPr/>
        <w:t xml:space="preserve">8.2 Violations are handled through the Organization's formal disciplinary process, in proportion to the severity and intent of the violation: verbal or written warning, mandatory retraining, suspension or removal of access rights, and termination of employment or contract. Violations involving illegal activity are referred to law enforcement. </w:t>
      </w:r>
      <w:r>
        <w:rPr>
          <w:color w:val="595959"/>
          <w:sz w:val="16"/>
        </w:rPr>
        <w:t>[800-53: PS-8 | 27002: 6.4]</w:t>
      </w:r>
    </w:p>
    <w:p>
      <w:pPr>
        <w:pStyle w:val="BodyText"/>
        <w:bidi w:val="0"/>
        <w:ind w:hanging="0" w:left="0" w:right="0"/>
        <w:jc w:val="left"/>
        <w:rPr/>
      </w:pPr>
      <w:r>
        <w:rPr/>
        <w:t xml:space="preserve">8.3 Contractors, vendors and other third parties who violate this document may have their access revoked and their contract terminated, and may be held liable for resulting damages. </w:t>
      </w:r>
      <w:r>
        <w:rPr>
          <w:color w:val="595959"/>
          <w:sz w:val="16"/>
        </w:rPr>
        <w:t>[800-53: PS-7, SA-9 | 27002: 5.20 | CIS: 15.4]</w:t>
      </w:r>
    </w:p>
    <w:p>
      <w:pPr>
        <w:pStyle w:val="BodyText"/>
        <w:bidi w:val="0"/>
        <w:ind w:hanging="0" w:left="0" w:right="0"/>
        <w:jc w:val="left"/>
        <w:rPr/>
      </w:pPr>
      <w:r>
        <w:rPr/>
        <w:t xml:space="preserve">8.4 Personnel must report suspected violations to their manager or the Information Security team. Reports made in good faith are protected from retaliation. </w:t>
      </w:r>
      <w:r>
        <w:rPr>
          <w:color w:val="595959"/>
          <w:sz w:val="16"/>
        </w:rPr>
        <w:t>[800-53: IR-6 | 27002: 6.8 | CIS: 17.3]</w:t>
      </w:r>
    </w:p>
    <w:p>
      <w:pPr>
        <w:pStyle w:val="Heading2"/>
        <w:bidi w:val="0"/>
        <w:jc w:val="left"/>
        <w:rPr/>
      </w:pPr>
      <w:r>
        <w:rPr/>
        <w:t>9. Exceptions</w:t>
      </w:r>
    </w:p>
    <w:p>
      <w:pPr>
        <w:pStyle w:val="BodyText"/>
        <w:bidi w:val="0"/>
        <w:ind w:hanging="0" w:left="0" w:right="0"/>
        <w:jc w:val="left"/>
        <w:rPr/>
      </w:pPr>
      <w:r>
        <w:rPr/>
        <w:t xml:space="preserve">9.1 Any exception must be requested in writing, state the business justification, the risk and the compensating controls, and be approved by the CISO (and the system or data owner) before it takes effect. </w:t>
      </w:r>
      <w:r>
        <w:rPr>
          <w:color w:val="595959"/>
          <w:sz w:val="16"/>
        </w:rPr>
        <w:t>[800-53: PM-9, CA-7 | 27002: 5.1, 5.36]</w:t>
      </w:r>
    </w:p>
    <w:p>
      <w:pPr>
        <w:pStyle w:val="BodyText"/>
        <w:bidi w:val="0"/>
        <w:ind w:hanging="0" w:left="0" w:right="0"/>
        <w:jc w:val="left"/>
        <w:rPr/>
      </w:pPr>
      <w:r>
        <w:rPr/>
        <w:t xml:space="preserve">9.2 Approved exceptions are recorded in the exception register, are time-limited to a maximum of 12 months, and are re-evaluated before renewal. </w:t>
      </w:r>
      <w:r>
        <w:rPr>
          <w:color w:val="595959"/>
          <w:sz w:val="16"/>
        </w:rPr>
        <w:t>[800-53: PM-9 | 27002: 5.1]</w:t>
      </w:r>
    </w:p>
    <w:p>
      <w:pPr>
        <w:pStyle w:val="Heading2"/>
        <w:bidi w:val="0"/>
        <w:jc w:val="left"/>
        <w:rPr/>
      </w:pPr>
      <w:r>
        <w:rPr/>
        <w:t>10. Policy Review and Maintenance</w:t>
      </w:r>
    </w:p>
    <w:p>
      <w:pPr>
        <w:pStyle w:val="BodyText"/>
        <w:bidi w:val="0"/>
        <w:ind w:hanging="0" w:left="0" w:right="0"/>
        <w:jc w:val="left"/>
        <w:rPr/>
      </w:pPr>
      <w:r>
        <w:rPr/>
        <w:t xml:space="preserve">10.1 The policy owner reviews this document at least annually, and also after a significant security incident, a major change to systems or the business, a change in law or regulation, or an audit finding. </w:t>
      </w:r>
      <w:r>
        <w:rPr>
          <w:color w:val="595959"/>
          <w:sz w:val="16"/>
        </w:rPr>
        <w:t>[800-53: PL-1, PM-1 | 27002: 5.1, 5.35 | CIS: 14.1]</w:t>
      </w:r>
    </w:p>
    <w:p>
      <w:pPr>
        <w:pStyle w:val="BodyText"/>
        <w:bidi w:val="0"/>
        <w:ind w:hanging="0" w:left="0" w:right="0"/>
        <w:jc w:val="left"/>
        <w:rPr/>
      </w:pPr>
      <w:r>
        <w:rPr/>
        <w:t xml:space="preserve">10.2 Changes are approved by management, recorded in the revision history, and communicated to everyone in scope. Personnel acknowledge the current version. </w:t>
      </w:r>
      <w:r>
        <w:rPr>
          <w:color w:val="595959"/>
          <w:sz w:val="16"/>
        </w:rPr>
        <w:t>[800-53: PL-1, PL-4, PS-6 | 27002: 5.1, 6.2 | CIS: 14.1]</w:t>
      </w:r>
    </w:p>
    <w:p>
      <w:pPr>
        <w:pStyle w:val="Heading2"/>
        <w:bidi w:val="0"/>
        <w:jc w:val="left"/>
        <w:rPr/>
      </w:pPr>
      <w:r>
        <w:rPr/>
        <w:t>11. Control Mapping</w:t>
      </w:r>
    </w:p>
    <w:p>
      <w:pPr>
        <w:pStyle w:val="BodyText"/>
        <w:bidi w:val="0"/>
        <w:jc w:val="left"/>
        <w:rPr/>
      </w:pPr>
      <w:r>
        <w:rPr/>
        <w:t>Controls each section implements. NIST = NIST SP 800-53 Rev. 5; ISO = ISO/IEC 27002:2022; CIS = CIS Critical Security Controls v8.1 safeguards.</w:t>
      </w:r>
    </w:p>
    <w:tbl>
      <w:tblPr>
        <w:tblW w:w="5000" w:type="pct"/>
        <w:jc w:val="left"/>
        <w:tblInd w:w="-7" w:type="dxa"/>
        <w:tblLayout w:type="fixed"/>
        <w:tblCellMar>
          <w:top w:w="45" w:type="dxa"/>
          <w:left w:w="45" w:type="dxa"/>
          <w:bottom w:w="45" w:type="dxa"/>
          <w:right w:w="45" w:type="dxa"/>
        </w:tblCellMar>
      </w:tblPr>
      <w:tblGrid>
        <w:gridCol w:w="3174"/>
        <w:gridCol w:w="2948"/>
        <w:gridCol w:w="2495"/>
        <w:gridCol w:w="2721"/>
      </w:tblGrid>
      <w:tr>
        <w:trPr/>
        <w:tc>
          <w:tcPr>
            <w:tcW w:w="317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Section</w:t>
            </w:r>
          </w:p>
        </w:tc>
        <w:tc>
          <w:tcPr>
            <w:tcW w:w="2948"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NIST SP 800-53 Rev. 5</w:t>
            </w:r>
          </w:p>
        </w:tc>
        <w:tc>
          <w:tcPr>
            <w:tcW w:w="249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ISO/IEC 27002:2022</w:t>
            </w:r>
          </w:p>
        </w:tc>
        <w:tc>
          <w:tcPr>
            <w:tcW w:w="272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CIS Controls v8.1</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Authorization</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AC-17</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5.15, 6.7</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6.1</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Technical Requirements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AC-6(2), AC-12, AC-17(2), AC-17(3), AC-17(4), IA-2(1), IA-2(2), SC-8, SC-10</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8.2, 8.5, 8.20, 8.21, 8.24</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3.10, 4.3, 5.4, 6.4, 12.7</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Endpoint Requirements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AC-17, AC-20, SC-7(7)</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6.7, 8.1, 8.20</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3.6, 4.5, 10.1, 12.7</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Monitoring and Termination</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AC-2, AC-17(1), AU-2, PS-4</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5.18, 6.5, 8.15, 8.16</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6.2, 8.2</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Compliance and Disciplinary Action</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CA-2, CA-7, IR-6, PS-7, PS-8, SA-9</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5.20, 5.36, 6.4, 6.8</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15.4, 17.3, 17.9</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Exceptions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CA-7, PM-9</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5.1, 5.36</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Policy Review and Maintenance</w:t>
            </w:r>
          </w:p>
        </w:tc>
        <w:tc>
          <w:tcPr>
            <w:tcW w:w="294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PL-1, PL-4, PM-1, PS-6</w:t>
            </w:r>
          </w:p>
        </w:tc>
        <w:tc>
          <w:tcPr>
            <w:tcW w:w="249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5.1, 5.35, 6.2</w:t>
            </w:r>
          </w:p>
        </w:tc>
        <w:tc>
          <w:tcPr>
            <w:tcW w:w="272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14.1</w:t>
            </w:r>
          </w:p>
        </w:tc>
      </w:tr>
    </w:tbl>
    <w:p>
      <w:pPr>
        <w:pStyle w:val="Heading2"/>
        <w:bidi w:val="0"/>
        <w:jc w:val="left"/>
        <w:rPr/>
      </w:pPr>
      <w:r>
        <w:rPr/>
        <w:t>12. Sources</w:t>
      </w:r>
    </w:p>
    <w:p>
      <w:pPr>
        <w:pStyle w:val="BodyText"/>
        <w:numPr>
          <w:ilvl w:val="0"/>
          <w:numId w:val="1"/>
        </w:numPr>
        <w:tabs>
          <w:tab w:val="clear" w:pos="1134"/>
          <w:tab w:val="left" w:pos="709" w:leader="none"/>
        </w:tabs>
        <w:bidi w:val="0"/>
        <w:spacing w:before="0" w:after="0"/>
        <w:ind w:hanging="283" w:left="709"/>
        <w:jc w:val="left"/>
        <w:rPr/>
      </w:pPr>
      <w:r>
        <w:rPr/>
        <w:t xml:space="preserve">NIST SP 800-53 Rev. 5, Security and Privacy Controls for Information Systems and Organizations </w:t>
      </w:r>
    </w:p>
    <w:p>
      <w:pPr>
        <w:pStyle w:val="BodyText"/>
        <w:numPr>
          <w:ilvl w:val="0"/>
          <w:numId w:val="1"/>
        </w:numPr>
        <w:tabs>
          <w:tab w:val="clear" w:pos="1134"/>
          <w:tab w:val="left" w:pos="709" w:leader="none"/>
        </w:tabs>
        <w:bidi w:val="0"/>
        <w:spacing w:before="0" w:after="0"/>
        <w:ind w:hanging="283" w:left="709"/>
        <w:jc w:val="left"/>
        <w:rPr/>
      </w:pPr>
      <w:r>
        <w:rPr/>
        <w:t xml:space="preserve">ISO/IEC 27002:2022, Information security, cybersecurity and privacy protection - Information security controls </w:t>
      </w:r>
    </w:p>
    <w:p>
      <w:pPr>
        <w:pStyle w:val="BodyText"/>
        <w:numPr>
          <w:ilvl w:val="0"/>
          <w:numId w:val="1"/>
        </w:numPr>
        <w:tabs>
          <w:tab w:val="clear" w:pos="1134"/>
          <w:tab w:val="left" w:pos="709" w:leader="none"/>
        </w:tabs>
        <w:bidi w:val="0"/>
        <w:spacing w:before="0" w:after="0"/>
        <w:ind w:hanging="283" w:left="709"/>
        <w:jc w:val="left"/>
        <w:rPr/>
      </w:pPr>
      <w:r>
        <w:rPr/>
        <w:t xml:space="preserve">Center for Internet Security (CIS) Critical Security Controls v8.1 </w:t>
      </w:r>
    </w:p>
    <w:p>
      <w:pPr>
        <w:pStyle w:val="BodyText"/>
        <w:numPr>
          <w:ilvl w:val="0"/>
          <w:numId w:val="1"/>
        </w:numPr>
        <w:tabs>
          <w:tab w:val="clear" w:pos="1134"/>
          <w:tab w:val="left" w:pos="709" w:leader="none"/>
        </w:tabs>
        <w:bidi w:val="0"/>
        <w:ind w:hanging="283" w:left="709"/>
        <w:jc w:val="left"/>
        <w:rPr/>
      </w:pPr>
      <w:r>
        <w:rPr/>
        <w:t xml:space="preserve">NIST SP 800-46 Rev. 2, Guide to Enterprise Telework, Remote Access, and Bring Your Own Device Security </w:t>
      </w:r>
    </w:p>
    <w:p>
      <w:pPr>
        <w:pStyle w:val="Heading2"/>
        <w:bidi w:val="0"/>
        <w:jc w:val="left"/>
        <w:rPr/>
      </w:pPr>
      <w:r>
        <w:rPr/>
        <w:t>13. Revision History</w:t>
      </w:r>
    </w:p>
    <w:tbl>
      <w:tblPr>
        <w:tblW w:w="5000" w:type="pct"/>
        <w:jc w:val="left"/>
        <w:tblInd w:w="-7" w:type="dxa"/>
        <w:tblLayout w:type="fixed"/>
        <w:tblCellMar>
          <w:top w:w="45" w:type="dxa"/>
          <w:left w:w="45" w:type="dxa"/>
          <w:bottom w:w="45" w:type="dxa"/>
          <w:right w:w="45" w:type="dxa"/>
        </w:tblCellMar>
      </w:tblPr>
      <w:tblGrid>
        <w:gridCol w:w="1360"/>
        <w:gridCol w:w="2041"/>
        <w:gridCol w:w="2835"/>
        <w:gridCol w:w="5102"/>
      </w:tblGrid>
      <w:tr>
        <w:trPr/>
        <w:tc>
          <w:tcPr>
            <w:tcW w:w="136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20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Date</w:t>
            </w:r>
          </w:p>
        </w:tc>
        <w:tc>
          <w:tcPr>
            <w:tcW w:w="283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Author</w:t>
            </w:r>
          </w:p>
        </w:tc>
        <w:tc>
          <w:tcPr>
            <w:tcW w:w="510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Change</w:t>
            </w:r>
          </w:p>
        </w:tc>
      </w:tr>
      <w:tr>
        <w:trPr/>
        <w:tc>
          <w:tcPr>
            <w:tcW w:w="13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1.0</w:t>
            </w:r>
          </w:p>
        </w:tc>
        <w:tc>
          <w:tcPr>
            <w:tcW w:w="2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[Date]</w:t>
            </w:r>
          </w:p>
        </w:tc>
        <w:tc>
          <w:tcPr>
            <w:tcW w:w="28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[Team #]</w:t>
            </w:r>
          </w:p>
        </w:tc>
        <w:tc>
          <w:tcPr>
            <w:tcW w:w="51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Initial release</w:t>
            </w:r>
          </w:p>
        </w:tc>
      </w:tr>
    </w:tbl>
    <w:p>
      <w:pPr>
        <w:pStyle w:val="BodyText"/>
        <w:bidi w:val="0"/>
        <w:spacing w:before="0" w:after="283"/>
        <w:jc w:val="left"/>
        <w:rPr/>
      </w:pPr>
      <w:r>
        <w:rPr/>
      </w:r>
    </w:p>
    <w:sectPr>
      <w:type w:val="nextPage"/>
      <w:pgSz w:w="12240" w:h="15840"/>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40"/>
    </w:pPr>
    <w:rPr>
      <w:rFonts w:ascii="Arial;sans-serif" w:hAnsi="Arial;sans-serif" w:eastAsia="Arial;sans-serif" w:cs="Arial;sans-serif"/>
      <w:b/>
      <w:bCs/>
      <w:color w:val="1F3864"/>
      <w:sz w:val="36"/>
      <w:szCs w:val="36"/>
    </w:rPr>
  </w:style>
  <w:style w:type="paragraph" w:styleId="Heading2">
    <w:name w:val="Heading 2"/>
    <w:basedOn w:val="Heading"/>
    <w:next w:val="BodyText"/>
    <w:qFormat/>
    <w:pPr>
      <w:pBdr>
        <w:bottom w:val="single" w:sz="2" w:space="1" w:color="1F3864"/>
      </w:pBdr>
      <w:spacing w:before="280" w:after="120"/>
      <w:outlineLvl w:val="1"/>
    </w:pPr>
    <w:rPr>
      <w:rFonts w:ascii="Arial;sans-serif" w:hAnsi="Arial;sans-serif" w:eastAsia="Arial;sans-serif" w:cs="Arial;sans-serif"/>
      <w:b/>
      <w:bCs/>
      <w:color w:val="1F3864"/>
      <w:sz w:val="25"/>
      <w:szCs w:val="25"/>
    </w:rPr>
  </w:style>
  <w:style w:type="paragraph" w:styleId="Heading3">
    <w:name w:val="Heading 3"/>
    <w:basedOn w:val="Heading"/>
    <w:next w:val="BodyText"/>
    <w:qFormat/>
    <w:pPr>
      <w:spacing w:before="160" w:after="120"/>
      <w:outlineLvl w:val="2"/>
    </w:pPr>
    <w:rPr>
      <w:rFonts w:ascii="Arial;sans-serif" w:hAnsi="Arial;sans-serif" w:eastAsia="Arial;sans-serif" w:cs="Arial;sans-serif"/>
      <w:b/>
      <w:bCs/>
      <w:color w:val="2F5496"/>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Remote Access Policy</dc:title>
</cp:coreProperties>
</file>

<file path=docProps/custom.xml><?xml version="1.0" encoding="utf-8"?>
<Properties xmlns="http://schemas.openxmlformats.org/officeDocument/2006/custom-properties" xmlns:vt="http://schemas.openxmlformats.org/officeDocument/2006/docPropsVTypes"/>
</file>