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
        <w:jc w:val="left"/>
        <w:rPr/>
      </w:pPr>
      <w:r>
        <w:rPr/>
        <w:t>Vendor and Third-Party Risk Management Policy</w:t>
      </w:r>
    </w:p>
    <w:tbl>
      <w:tblPr>
        <w:tblW w:w="5000" w:type="pct"/>
        <w:jc w:val="left"/>
        <w:tblInd w:w="-7" w:type="dxa"/>
        <w:tblLayout w:type="fixed"/>
        <w:tblCellMar>
          <w:top w:w="45" w:type="dxa"/>
          <w:left w:w="45" w:type="dxa"/>
          <w:bottom w:w="45" w:type="dxa"/>
          <w:right w:w="45" w:type="dxa"/>
        </w:tblCellMar>
      </w:tblPr>
      <w:tblGrid>
        <w:gridCol w:w="2040"/>
        <w:gridCol w:w="3629"/>
        <w:gridCol w:w="2040"/>
        <w:gridCol w:w="3629"/>
      </w:tblGrid>
      <w:tr>
        <w:trPr/>
        <w:tc>
          <w:tcPr>
            <w:tcW w:w="2040"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Organization</w:t>
            </w:r>
          </w:p>
        </w:tc>
        <w:tc>
          <w:tcPr>
            <w:tcW w:w="3629" w:type="dxa"/>
            <w:tcBorders>
              <w:top w:val="single" w:sz="6" w:space="0" w:color="808080"/>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[Company name]</w:t>
            </w:r>
          </w:p>
        </w:tc>
        <w:tc>
          <w:tcPr>
            <w:tcW w:w="2040"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Document ID</w:t>
            </w:r>
          </w:p>
        </w:tc>
        <w:tc>
          <w:tcPr>
            <w:tcW w:w="3629" w:type="dxa"/>
            <w:tcBorders>
              <w:top w:val="single" w:sz="6" w:space="0" w:color="808080"/>
              <w:left w:val="single" w:sz="2" w:space="0" w:color="808080"/>
              <w:bottom w:val="single" w:sz="2" w:space="0" w:color="808080"/>
              <w:right w:val="single" w:sz="6" w:space="0" w:color="808080"/>
            </w:tcBorders>
            <w:vAlign w:val="center"/>
          </w:tcPr>
          <w:p>
            <w:pPr>
              <w:pStyle w:val="TableContents"/>
              <w:bidi w:val="0"/>
              <w:spacing w:before="0" w:after="283"/>
              <w:jc w:val="left"/>
              <w:rPr/>
            </w:pPr>
            <w:r>
              <w:rPr/>
              <w:t>POL-11</w:t>
            </w:r>
          </w:p>
        </w:tc>
      </w:tr>
      <w:tr>
        <w:trPr/>
        <w:tc>
          <w:tcPr>
            <w:tcW w:w="2040" w:type="dxa"/>
            <w:tcBorders>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Version</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1.0</w:t>
            </w:r>
          </w:p>
        </w:tc>
        <w:tc>
          <w:tcPr>
            <w:tcW w:w="2040" w:type="dxa"/>
            <w:tcBorders>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Effective date</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[Date]</w:t>
            </w:r>
          </w:p>
        </w:tc>
      </w:tr>
      <w:tr>
        <w:trPr/>
        <w:tc>
          <w:tcPr>
            <w:tcW w:w="2040" w:type="dxa"/>
            <w:tcBorders>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Policy owner</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Chief Information Security Officer (CISO)</w:t>
            </w:r>
          </w:p>
        </w:tc>
        <w:tc>
          <w:tcPr>
            <w:tcW w:w="2040" w:type="dxa"/>
            <w:tcBorders>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Approved by</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[Name, Title]</w:t>
            </w:r>
          </w:p>
        </w:tc>
      </w:tr>
      <w:tr>
        <w:trPr/>
        <w:tc>
          <w:tcPr>
            <w:tcW w:w="2040" w:type="dxa"/>
            <w:tcBorders>
              <w:left w:val="single" w:sz="6" w:space="0" w:color="808080"/>
              <w:bottom w:val="single" w:sz="6" w:space="0" w:color="808080"/>
              <w:right w:val="single" w:sz="6" w:space="0" w:color="808080"/>
            </w:tcBorders>
            <w:shd w:fill="D9E2F3" w:val="clear"/>
            <w:vAlign w:val="center"/>
          </w:tcPr>
          <w:p>
            <w:pPr>
              <w:pStyle w:val="TableContents"/>
              <w:bidi w:val="0"/>
              <w:spacing w:before="0" w:after="283"/>
              <w:jc w:val="left"/>
              <w:rPr>
                <w:b/>
              </w:rPr>
            </w:pPr>
            <w:r>
              <w:rPr>
                <w:b/>
              </w:rPr>
              <w:t>Review frequency</w:t>
            </w:r>
          </w:p>
        </w:tc>
        <w:tc>
          <w:tcPr>
            <w:tcW w:w="362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At least annually, and after any significant incident or change</w:t>
            </w:r>
          </w:p>
        </w:tc>
        <w:tc>
          <w:tcPr>
            <w:tcW w:w="2040" w:type="dxa"/>
            <w:tcBorders>
              <w:left w:val="single" w:sz="2" w:space="0" w:color="808080"/>
              <w:bottom w:val="single" w:sz="6" w:space="0" w:color="808080"/>
              <w:right w:val="single" w:sz="6" w:space="0" w:color="808080"/>
            </w:tcBorders>
            <w:shd w:fill="D9E2F3" w:val="clear"/>
            <w:vAlign w:val="center"/>
          </w:tcPr>
          <w:p>
            <w:pPr>
              <w:pStyle w:val="TableContents"/>
              <w:bidi w:val="0"/>
              <w:spacing w:before="0" w:after="283"/>
              <w:jc w:val="left"/>
              <w:rPr>
                <w:b/>
              </w:rPr>
            </w:pPr>
            <w:r>
              <w:rPr>
                <w:b/>
              </w:rPr>
              <w:t>Classification</w:t>
            </w:r>
          </w:p>
        </w:tc>
        <w:tc>
          <w:tcPr>
            <w:tcW w:w="362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Internal</w:t>
            </w:r>
          </w:p>
        </w:tc>
      </w:tr>
    </w:tbl>
    <w:p>
      <w:pPr>
        <w:pStyle w:val="Heading2"/>
        <w:bidi w:val="0"/>
        <w:jc w:val="left"/>
        <w:rPr/>
      </w:pPr>
      <w:r>
        <w:rPr/>
        <w:t>1. Purpose</w:t>
      </w:r>
    </w:p>
    <w:p>
      <w:pPr>
        <w:pStyle w:val="BodyText"/>
        <w:bidi w:val="0"/>
        <w:jc w:val="left"/>
        <w:rPr/>
      </w:pPr>
      <w:r>
        <w:rPr/>
        <w:t>This policy ensures that vendors and service providers who access, process or host Organization data or systems are assessed, contractually bound to protect them, and monitored.</w:t>
      </w:r>
    </w:p>
    <w:p>
      <w:pPr>
        <w:pStyle w:val="Heading2"/>
        <w:bidi w:val="0"/>
        <w:jc w:val="left"/>
        <w:rPr/>
      </w:pPr>
      <w:r>
        <w:rPr/>
        <w:t>2. Scope</w:t>
      </w:r>
    </w:p>
    <w:p>
      <w:pPr>
        <w:pStyle w:val="BodyText"/>
        <w:bidi w:val="0"/>
        <w:jc w:val="left"/>
        <w:rPr/>
      </w:pPr>
      <w:r>
        <w:rPr/>
        <w:t>Applies to all suppliers, service providers, cloud providers, contractors and consultants, and to employees who select or manage them.</w:t>
      </w:r>
    </w:p>
    <w:p>
      <w:pPr>
        <w:pStyle w:val="Heading2"/>
        <w:bidi w:val="0"/>
        <w:jc w:val="left"/>
        <w:rPr/>
      </w:pPr>
      <w:r>
        <w:rPr/>
        <w:t>3. Definitions</w:t>
      </w:r>
    </w:p>
    <w:tbl>
      <w:tblPr>
        <w:tblW w:w="5000" w:type="pct"/>
        <w:jc w:val="left"/>
        <w:tblInd w:w="-7" w:type="dxa"/>
        <w:tblLayout w:type="fixed"/>
        <w:tblCellMar>
          <w:top w:w="45" w:type="dxa"/>
          <w:left w:w="45" w:type="dxa"/>
          <w:bottom w:w="45" w:type="dxa"/>
          <w:right w:w="45" w:type="dxa"/>
        </w:tblCellMar>
      </w:tblPr>
      <w:tblGrid>
        <w:gridCol w:w="2494"/>
        <w:gridCol w:w="8844"/>
      </w:tblGrid>
      <w:tr>
        <w:trPr/>
        <w:tc>
          <w:tcPr>
            <w:tcW w:w="2494"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Term</w:t>
            </w:r>
          </w:p>
        </w:tc>
        <w:tc>
          <w:tcPr>
            <w:tcW w:w="8844"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Definition</w:t>
            </w:r>
          </w:p>
        </w:tc>
      </w:tr>
      <w:tr>
        <w:trPr/>
        <w:tc>
          <w:tcPr>
            <w:tcW w:w="24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Vendor</w:t>
            </w:r>
          </w:p>
        </w:tc>
        <w:tc>
          <w:tcPr>
            <w:tcW w:w="88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Any external party providing goods or services to the Organization.</w:t>
            </w:r>
          </w:p>
        </w:tc>
      </w:tr>
      <w:tr>
        <w:trPr/>
        <w:tc>
          <w:tcPr>
            <w:tcW w:w="24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Critical vendor</w:t>
            </w:r>
          </w:p>
        </w:tc>
        <w:tc>
          <w:tcPr>
            <w:tcW w:w="88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Vendor with access to Confidential data, privileged access, or that supports a critical service.</w:t>
            </w:r>
          </w:p>
        </w:tc>
      </w:tr>
      <w:tr>
        <w:trPr/>
        <w:tc>
          <w:tcPr>
            <w:tcW w:w="2494"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Supply chain risk</w:t>
            </w:r>
          </w:p>
        </w:tc>
        <w:tc>
          <w:tcPr>
            <w:tcW w:w="884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Risk that a product or service is compromised before or during delivery.</w:t>
            </w:r>
          </w:p>
        </w:tc>
      </w:tr>
    </w:tbl>
    <w:p>
      <w:pPr>
        <w:pStyle w:val="Heading2"/>
        <w:bidi w:val="0"/>
        <w:jc w:val="left"/>
        <w:rPr/>
      </w:pPr>
      <w:r>
        <w:rPr/>
        <w:t>4. Inventory and Classification</w:t>
      </w:r>
    </w:p>
    <w:p>
      <w:pPr>
        <w:pStyle w:val="BodyText"/>
        <w:bidi w:val="0"/>
        <w:ind w:hanging="0" w:left="0" w:right="0"/>
        <w:jc w:val="left"/>
        <w:rPr/>
      </w:pPr>
      <w:r>
        <w:rPr/>
        <w:t xml:space="preserve">4.1 Procurement maintains an inventory of vendors with the data and systems each one can access, and classifies each vendor by risk. </w:t>
      </w:r>
      <w:r>
        <w:rPr>
          <w:color w:val="595959"/>
          <w:sz w:val="16"/>
        </w:rPr>
        <w:t>[800-53: SA-9, SR-2 | 27002: 5.19 | CIS: 15.1, 15.3]</w:t>
      </w:r>
    </w:p>
    <w:p>
      <w:pPr>
        <w:pStyle w:val="Heading2"/>
        <w:bidi w:val="0"/>
        <w:jc w:val="left"/>
        <w:rPr/>
      </w:pPr>
      <w:r>
        <w:rPr/>
        <w:t>5. Due Diligence</w:t>
      </w:r>
    </w:p>
    <w:p>
      <w:pPr>
        <w:pStyle w:val="BodyText"/>
        <w:bidi w:val="0"/>
        <w:ind w:hanging="0" w:left="0" w:right="0"/>
        <w:jc w:val="left"/>
        <w:rPr/>
      </w:pPr>
      <w:r>
        <w:rPr/>
        <w:t xml:space="preserve">5.1 Before contracting, critical vendors are assessed for security (e.g. questionnaire, SOC 2 or ISO 27001 certification, penetration test summary), financial stability and legal compliance. </w:t>
      </w:r>
      <w:r>
        <w:rPr>
          <w:color w:val="595959"/>
          <w:sz w:val="16"/>
        </w:rPr>
        <w:t>[800-53: SR-6, SA-4, RA-3 | 27002: 5.19, 5.21 | CIS: 15.5]</w:t>
      </w:r>
    </w:p>
    <w:p>
      <w:pPr>
        <w:pStyle w:val="Heading2"/>
        <w:bidi w:val="0"/>
        <w:jc w:val="left"/>
        <w:rPr/>
      </w:pPr>
      <w:r>
        <w:rPr/>
        <w:t>6. Contract Requirements</w:t>
      </w:r>
    </w:p>
    <w:p>
      <w:pPr>
        <w:pStyle w:val="BodyText"/>
        <w:bidi w:val="0"/>
        <w:ind w:hanging="0" w:left="0" w:right="0"/>
        <w:jc w:val="left"/>
        <w:rPr/>
      </w:pPr>
      <w:r>
        <w:rPr/>
        <w:t xml:space="preserve">6.1 Contracts include security requirements: confidentiality, data protection, compliance with Organization policies, breach notification within 24 hours, right to audit, background screening of vendor staff with access, and return or destruction of data at contract end. </w:t>
      </w:r>
      <w:r>
        <w:rPr>
          <w:color w:val="595959"/>
          <w:sz w:val="16"/>
        </w:rPr>
        <w:t>[800-53: SA-4, SA-9, PS-7, SR-3 | 27002: 5.20, 5.21 | CIS: 15.4]</w:t>
      </w:r>
    </w:p>
    <w:p>
      <w:pPr>
        <w:pStyle w:val="Heading2"/>
        <w:bidi w:val="0"/>
        <w:jc w:val="left"/>
        <w:rPr/>
      </w:pPr>
      <w:r>
        <w:rPr/>
        <w:t>7. Access and Monitoring</w:t>
      </w:r>
    </w:p>
    <w:p>
      <w:pPr>
        <w:pStyle w:val="BodyText"/>
        <w:bidi w:val="0"/>
        <w:ind w:hanging="0" w:left="0" w:right="0"/>
        <w:jc w:val="left"/>
        <w:rPr/>
      </w:pPr>
      <w:r>
        <w:rPr/>
        <w:t xml:space="preserve">7.1 Vendor access follows least privilege, uses named accounts with MFA, is time-limited, and is logged. </w:t>
      </w:r>
      <w:r>
        <w:rPr>
          <w:color w:val="595959"/>
          <w:sz w:val="16"/>
        </w:rPr>
        <w:t>[800-53: AC-2, AC-17, PS-7 | 27002: 5.19, 8.2 | CIS: 6.5, 15.4]</w:t>
      </w:r>
    </w:p>
    <w:p>
      <w:pPr>
        <w:pStyle w:val="BodyText"/>
        <w:bidi w:val="0"/>
        <w:ind w:hanging="0" w:left="0" w:right="0"/>
        <w:jc w:val="left"/>
        <w:rPr/>
      </w:pPr>
      <w:r>
        <w:rPr/>
        <w:t xml:space="preserve">7.2 Critical vendors are reassessed at least annually and after any incident affecting them; performance against security obligations is monitored. </w:t>
      </w:r>
      <w:r>
        <w:rPr>
          <w:color w:val="595959"/>
          <w:sz w:val="16"/>
        </w:rPr>
        <w:t>[800-53: SA-9, SR-6 | 27002: 5.22 | CIS: 15.6]</w:t>
      </w:r>
    </w:p>
    <w:p>
      <w:pPr>
        <w:pStyle w:val="Heading2"/>
        <w:bidi w:val="0"/>
        <w:jc w:val="left"/>
        <w:rPr/>
      </w:pPr>
      <w:r>
        <w:rPr/>
        <w:t>8. Termination</w:t>
      </w:r>
    </w:p>
    <w:p>
      <w:pPr>
        <w:pStyle w:val="BodyText"/>
        <w:bidi w:val="0"/>
        <w:ind w:hanging="0" w:left="0" w:right="0"/>
        <w:jc w:val="left"/>
        <w:rPr/>
      </w:pPr>
      <w:r>
        <w:rPr/>
        <w:t xml:space="preserve">8.1 When a relationship ends, vendor accounts are disabled, credentials rotated, and data returned or destroyed with written confirmation. </w:t>
      </w:r>
      <w:r>
        <w:rPr>
          <w:color w:val="595959"/>
          <w:sz w:val="16"/>
        </w:rPr>
        <w:t>[800-53: PS-7, MP-6 | 27002: 5.19, 5.22 | CIS: 15.7]</w:t>
      </w:r>
    </w:p>
    <w:p>
      <w:pPr>
        <w:pStyle w:val="Heading2"/>
        <w:bidi w:val="0"/>
        <w:jc w:val="left"/>
        <w:rPr/>
      </w:pPr>
      <w:r>
        <w:rPr/>
        <w:t>9. Conflicts of Interest</w:t>
      </w:r>
    </w:p>
    <w:p>
      <w:pPr>
        <w:pStyle w:val="BodyText"/>
        <w:bidi w:val="0"/>
        <w:ind w:hanging="0" w:left="0" w:right="0"/>
        <w:jc w:val="left"/>
        <w:rPr/>
      </w:pPr>
      <w:r>
        <w:rPr/>
        <w:t xml:space="preserve">9.1 Employees involved in vendor selection disclose conflicts of interest and recuse themselves where needed. </w:t>
      </w:r>
      <w:r>
        <w:rPr>
          <w:color w:val="595959"/>
          <w:sz w:val="16"/>
        </w:rPr>
        <w:t>[800-53: PS-6 | 27002: 5.19]</w:t>
      </w:r>
    </w:p>
    <w:p>
      <w:pPr>
        <w:pStyle w:val="Heading2"/>
        <w:bidi w:val="0"/>
        <w:jc w:val="left"/>
        <w:rPr/>
      </w:pPr>
      <w:r>
        <w:rPr/>
        <w:t>10. Compliance and Disciplinary Action</w:t>
      </w:r>
    </w:p>
    <w:p>
      <w:pPr>
        <w:pStyle w:val="BodyText"/>
        <w:bidi w:val="0"/>
        <w:ind w:hanging="0" w:left="0" w:right="0"/>
        <w:jc w:val="left"/>
        <w:rPr/>
      </w:pPr>
      <w:r>
        <w:rPr/>
        <w:t xml:space="preserve">10.1 Compliance with this document is mandatory for everyone in scope. Compliance is verified through technical monitoring, audits and management review. </w:t>
      </w:r>
      <w:r>
        <w:rPr>
          <w:color w:val="595959"/>
          <w:sz w:val="16"/>
        </w:rPr>
        <w:t>[800-53: CA-2, CA-7 | 27002: 5.36 | CIS: 17.9]</w:t>
      </w:r>
    </w:p>
    <w:p>
      <w:pPr>
        <w:pStyle w:val="BodyText"/>
        <w:bidi w:val="0"/>
        <w:ind w:hanging="0" w:left="0" w:right="0"/>
        <w:jc w:val="left"/>
        <w:rPr/>
      </w:pPr>
      <w:r>
        <w:rPr/>
        <w:t xml:space="preserve">10.2 Violations are handled through the Organization's formal disciplinary process, in proportion to the severity and intent of the violation: verbal or written warning, mandatory retraining, suspension or removal of access rights, and termination of employment or contract. Violations involving illegal activity are referred to law enforcement. </w:t>
      </w:r>
      <w:r>
        <w:rPr>
          <w:color w:val="595959"/>
          <w:sz w:val="16"/>
        </w:rPr>
        <w:t>[800-53: PS-8 | 27002: 6.4]</w:t>
      </w:r>
    </w:p>
    <w:p>
      <w:pPr>
        <w:pStyle w:val="BodyText"/>
        <w:bidi w:val="0"/>
        <w:ind w:hanging="0" w:left="0" w:right="0"/>
        <w:jc w:val="left"/>
        <w:rPr/>
      </w:pPr>
      <w:r>
        <w:rPr/>
        <w:t xml:space="preserve">10.3 Contractors, vendors and other third parties who violate this document may have their access revoked and their contract terminated, and may be held liable for resulting damages. </w:t>
      </w:r>
      <w:r>
        <w:rPr>
          <w:color w:val="595959"/>
          <w:sz w:val="16"/>
        </w:rPr>
        <w:t>[800-53: PS-7, SA-9 | 27002: 5.20 | CIS: 15.4]</w:t>
      </w:r>
    </w:p>
    <w:p>
      <w:pPr>
        <w:pStyle w:val="BodyText"/>
        <w:bidi w:val="0"/>
        <w:ind w:hanging="0" w:left="0" w:right="0"/>
        <w:jc w:val="left"/>
        <w:rPr/>
      </w:pPr>
      <w:r>
        <w:rPr/>
        <w:t xml:space="preserve">10.4 Personnel must report suspected violations to their manager or the Information Security team. Reports made in good faith are protected from retaliation. </w:t>
      </w:r>
      <w:r>
        <w:rPr>
          <w:color w:val="595959"/>
          <w:sz w:val="16"/>
        </w:rPr>
        <w:t>[800-53: IR-6 | 27002: 6.8 | CIS: 17.3]</w:t>
      </w:r>
    </w:p>
    <w:p>
      <w:pPr>
        <w:pStyle w:val="Heading2"/>
        <w:bidi w:val="0"/>
        <w:jc w:val="left"/>
        <w:rPr/>
      </w:pPr>
      <w:r>
        <w:rPr/>
        <w:t>11. Exceptions</w:t>
      </w:r>
    </w:p>
    <w:p>
      <w:pPr>
        <w:pStyle w:val="BodyText"/>
        <w:bidi w:val="0"/>
        <w:ind w:hanging="0" w:left="0" w:right="0"/>
        <w:jc w:val="left"/>
        <w:rPr/>
      </w:pPr>
      <w:r>
        <w:rPr/>
        <w:t xml:space="preserve">11.1 Any exception must be requested in writing, state the business justification, the risk and the compensating controls, and be approved by the CISO (and the system or data owner) before it takes effect. </w:t>
      </w:r>
      <w:r>
        <w:rPr>
          <w:color w:val="595959"/>
          <w:sz w:val="16"/>
        </w:rPr>
        <w:t>[800-53: PM-9, CA-7 | 27002: 5.1, 5.36]</w:t>
      </w:r>
    </w:p>
    <w:p>
      <w:pPr>
        <w:pStyle w:val="BodyText"/>
        <w:bidi w:val="0"/>
        <w:ind w:hanging="0" w:left="0" w:right="0"/>
        <w:jc w:val="left"/>
        <w:rPr/>
      </w:pPr>
      <w:r>
        <w:rPr/>
        <w:t xml:space="preserve">11.2 Approved exceptions are recorded in the exception register, are time-limited to a maximum of 12 months, and are re-evaluated before renewal. </w:t>
      </w:r>
      <w:r>
        <w:rPr>
          <w:color w:val="595959"/>
          <w:sz w:val="16"/>
        </w:rPr>
        <w:t>[800-53: PM-9 | 27002: 5.1]</w:t>
      </w:r>
    </w:p>
    <w:p>
      <w:pPr>
        <w:pStyle w:val="Heading2"/>
        <w:bidi w:val="0"/>
        <w:jc w:val="left"/>
        <w:rPr/>
      </w:pPr>
      <w:r>
        <w:rPr/>
        <w:t>12. Policy Review and Maintenance</w:t>
      </w:r>
    </w:p>
    <w:p>
      <w:pPr>
        <w:pStyle w:val="BodyText"/>
        <w:bidi w:val="0"/>
        <w:ind w:hanging="0" w:left="0" w:right="0"/>
        <w:jc w:val="left"/>
        <w:rPr/>
      </w:pPr>
      <w:r>
        <w:rPr/>
        <w:t xml:space="preserve">12.1 The policy owner reviews this document at least annually, and also after a significant security incident, a major change to systems or the business, a change in law or regulation, or an audit finding. </w:t>
      </w:r>
      <w:r>
        <w:rPr>
          <w:color w:val="595959"/>
          <w:sz w:val="16"/>
        </w:rPr>
        <w:t>[800-53: PL-1, PM-1 | 27002: 5.1, 5.35 | CIS: 14.1]</w:t>
      </w:r>
    </w:p>
    <w:p>
      <w:pPr>
        <w:pStyle w:val="BodyText"/>
        <w:bidi w:val="0"/>
        <w:ind w:hanging="0" w:left="0" w:right="0"/>
        <w:jc w:val="left"/>
        <w:rPr/>
      </w:pPr>
      <w:r>
        <w:rPr/>
        <w:t xml:space="preserve">12.2 Changes are approved by management, recorded in the revision history, and communicated to everyone in scope. Personnel acknowledge the current version. </w:t>
      </w:r>
      <w:r>
        <w:rPr>
          <w:color w:val="595959"/>
          <w:sz w:val="16"/>
        </w:rPr>
        <w:t>[800-53: PL-1, PL-4, PS-6 | 27002: 5.1, 6.2 | CIS: 14.1]</w:t>
      </w:r>
    </w:p>
    <w:p>
      <w:pPr>
        <w:pStyle w:val="Heading2"/>
        <w:bidi w:val="0"/>
        <w:jc w:val="left"/>
        <w:rPr/>
      </w:pPr>
      <w:r>
        <w:rPr/>
        <w:t>13. Control Mapping</w:t>
      </w:r>
    </w:p>
    <w:p>
      <w:pPr>
        <w:pStyle w:val="BodyText"/>
        <w:bidi w:val="0"/>
        <w:jc w:val="left"/>
        <w:rPr/>
      </w:pPr>
      <w:r>
        <w:rPr/>
        <w:t>Controls each section implements. NIST = NIST SP 800-53 Rev. 5; ISO = ISO/IEC 27002:2022; CIS = CIS Critical Security Controls v8.1 safeguards.</w:t>
      </w:r>
    </w:p>
    <w:tbl>
      <w:tblPr>
        <w:tblW w:w="5000" w:type="pct"/>
        <w:jc w:val="left"/>
        <w:tblInd w:w="-7" w:type="dxa"/>
        <w:tblLayout w:type="fixed"/>
        <w:tblCellMar>
          <w:top w:w="45" w:type="dxa"/>
          <w:left w:w="45" w:type="dxa"/>
          <w:bottom w:w="45" w:type="dxa"/>
          <w:right w:w="45" w:type="dxa"/>
        </w:tblCellMar>
      </w:tblPr>
      <w:tblGrid>
        <w:gridCol w:w="3174"/>
        <w:gridCol w:w="2948"/>
        <w:gridCol w:w="2495"/>
        <w:gridCol w:w="2721"/>
      </w:tblGrid>
      <w:tr>
        <w:trPr/>
        <w:tc>
          <w:tcPr>
            <w:tcW w:w="3174"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Section</w:t>
            </w:r>
          </w:p>
        </w:tc>
        <w:tc>
          <w:tcPr>
            <w:tcW w:w="2948"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NIST SP 800-53 Rev. 5</w:t>
            </w:r>
          </w:p>
        </w:tc>
        <w:tc>
          <w:tcPr>
            <w:tcW w:w="2495"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ISO/IEC 27002:2022</w:t>
            </w:r>
          </w:p>
        </w:tc>
        <w:tc>
          <w:tcPr>
            <w:tcW w:w="2721"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CIS Controls v8.1</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Inventory and Classification</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SA-9, SR-2</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5.19</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15.1, 15.3</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Due Diligence</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RA-3, SA-4, SR-6</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5.19, 5.21</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15.5</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Contract Requirements</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PS-7, SA-4, SA-9, SR-3</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5.20, 5.21</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15.4</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Access and Monitoring</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AC-2, AC-17, PS-7, SA-9, SR-6</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5.19, 5.22, 8.2</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6.5, 15.4, 15.6</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Termination</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MP-6, PS-7</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5.19, 5.22</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15.7</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Conflicts of Interest</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PS-6</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5.19</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Compliance and Disciplinary Action</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CA-2, CA-7, IR-6, PS-7, PS-8, SA-9</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5.20, 5.36, 6.4, 6.8</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15.4, 17.3, 17.9</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Exceptions</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CA-7, PM-9</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5.1, 5.36</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3174"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Policy Review and Maintenance</w:t>
            </w:r>
          </w:p>
        </w:tc>
        <w:tc>
          <w:tcPr>
            <w:tcW w:w="2948"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PL-1, PL-4, PM-1, PS-6</w:t>
            </w:r>
          </w:p>
        </w:tc>
        <w:tc>
          <w:tcPr>
            <w:tcW w:w="249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5.1, 5.35, 6.2</w:t>
            </w:r>
          </w:p>
        </w:tc>
        <w:tc>
          <w:tcPr>
            <w:tcW w:w="272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14.1</w:t>
            </w:r>
          </w:p>
        </w:tc>
      </w:tr>
    </w:tbl>
    <w:p>
      <w:pPr>
        <w:pStyle w:val="Heading2"/>
        <w:bidi w:val="0"/>
        <w:jc w:val="left"/>
        <w:rPr/>
      </w:pPr>
      <w:r>
        <w:rPr/>
        <w:t>14. Sources</w:t>
      </w:r>
    </w:p>
    <w:p>
      <w:pPr>
        <w:pStyle w:val="BodyText"/>
        <w:numPr>
          <w:ilvl w:val="0"/>
          <w:numId w:val="1"/>
        </w:numPr>
        <w:tabs>
          <w:tab w:val="clear" w:pos="1134"/>
          <w:tab w:val="left" w:pos="709" w:leader="none"/>
        </w:tabs>
        <w:bidi w:val="0"/>
        <w:spacing w:before="0" w:after="0"/>
        <w:ind w:hanging="283" w:left="709"/>
        <w:jc w:val="left"/>
        <w:rPr/>
      </w:pPr>
      <w:r>
        <w:rPr/>
        <w:t xml:space="preserve">NIST SP 800-53 Rev. 5, Security and Privacy Controls for Information Systems and Organizations </w:t>
      </w:r>
    </w:p>
    <w:p>
      <w:pPr>
        <w:pStyle w:val="BodyText"/>
        <w:numPr>
          <w:ilvl w:val="0"/>
          <w:numId w:val="1"/>
        </w:numPr>
        <w:tabs>
          <w:tab w:val="clear" w:pos="1134"/>
          <w:tab w:val="left" w:pos="709" w:leader="none"/>
        </w:tabs>
        <w:bidi w:val="0"/>
        <w:spacing w:before="0" w:after="0"/>
        <w:ind w:hanging="283" w:left="709"/>
        <w:jc w:val="left"/>
        <w:rPr/>
      </w:pPr>
      <w:r>
        <w:rPr/>
        <w:t xml:space="preserve">ISO/IEC 27002:2022, Information security, cybersecurity and privacy protection - Information security controls </w:t>
      </w:r>
    </w:p>
    <w:p>
      <w:pPr>
        <w:pStyle w:val="BodyText"/>
        <w:numPr>
          <w:ilvl w:val="0"/>
          <w:numId w:val="1"/>
        </w:numPr>
        <w:tabs>
          <w:tab w:val="clear" w:pos="1134"/>
          <w:tab w:val="left" w:pos="709" w:leader="none"/>
        </w:tabs>
        <w:bidi w:val="0"/>
        <w:spacing w:before="0" w:after="0"/>
        <w:ind w:hanging="283" w:left="709"/>
        <w:jc w:val="left"/>
        <w:rPr/>
      </w:pPr>
      <w:r>
        <w:rPr/>
        <w:t xml:space="preserve">Center for Internet Security (CIS) Critical Security Controls v8.1 </w:t>
      </w:r>
    </w:p>
    <w:p>
      <w:pPr>
        <w:pStyle w:val="BodyText"/>
        <w:numPr>
          <w:ilvl w:val="0"/>
          <w:numId w:val="1"/>
        </w:numPr>
        <w:tabs>
          <w:tab w:val="clear" w:pos="1134"/>
          <w:tab w:val="left" w:pos="709" w:leader="none"/>
        </w:tabs>
        <w:bidi w:val="0"/>
        <w:ind w:hanging="283" w:left="709"/>
        <w:jc w:val="left"/>
        <w:rPr/>
      </w:pPr>
      <w:r>
        <w:rPr/>
        <w:t xml:space="preserve">NIST SP 800-161 Rev. 1, Cybersecurity Supply Chain Risk Management Practices for Systems and Organizations </w:t>
      </w:r>
    </w:p>
    <w:p>
      <w:pPr>
        <w:pStyle w:val="Heading2"/>
        <w:bidi w:val="0"/>
        <w:jc w:val="left"/>
        <w:rPr/>
      </w:pPr>
      <w:r>
        <w:rPr/>
        <w:t>15. Revision History</w:t>
      </w:r>
    </w:p>
    <w:tbl>
      <w:tblPr>
        <w:tblW w:w="5000" w:type="pct"/>
        <w:jc w:val="left"/>
        <w:tblInd w:w="-7" w:type="dxa"/>
        <w:tblLayout w:type="fixed"/>
        <w:tblCellMar>
          <w:top w:w="45" w:type="dxa"/>
          <w:left w:w="45" w:type="dxa"/>
          <w:bottom w:w="45" w:type="dxa"/>
          <w:right w:w="45" w:type="dxa"/>
        </w:tblCellMar>
      </w:tblPr>
      <w:tblGrid>
        <w:gridCol w:w="1360"/>
        <w:gridCol w:w="2041"/>
        <w:gridCol w:w="2835"/>
        <w:gridCol w:w="5102"/>
      </w:tblGrid>
      <w:tr>
        <w:trPr/>
        <w:tc>
          <w:tcPr>
            <w:tcW w:w="1360"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Version</w:t>
            </w:r>
          </w:p>
        </w:tc>
        <w:tc>
          <w:tcPr>
            <w:tcW w:w="2041"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Date</w:t>
            </w:r>
          </w:p>
        </w:tc>
        <w:tc>
          <w:tcPr>
            <w:tcW w:w="2835"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Author</w:t>
            </w:r>
          </w:p>
        </w:tc>
        <w:tc>
          <w:tcPr>
            <w:tcW w:w="5102"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Change</w:t>
            </w:r>
          </w:p>
        </w:tc>
      </w:tr>
      <w:tr>
        <w:trPr/>
        <w:tc>
          <w:tcPr>
            <w:tcW w:w="136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1.0</w:t>
            </w:r>
          </w:p>
        </w:tc>
        <w:tc>
          <w:tcPr>
            <w:tcW w:w="204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[Date]</w:t>
            </w:r>
          </w:p>
        </w:tc>
        <w:tc>
          <w:tcPr>
            <w:tcW w:w="283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[Team #]</w:t>
            </w:r>
          </w:p>
        </w:tc>
        <w:tc>
          <w:tcPr>
            <w:tcW w:w="510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Initial release</w:t>
            </w:r>
          </w:p>
        </w:tc>
      </w:tr>
    </w:tbl>
    <w:p>
      <w:pPr>
        <w:pStyle w:val="BodyText"/>
        <w:bidi w:val="0"/>
        <w:spacing w:before="0" w:after="283"/>
        <w:jc w:val="left"/>
        <w:rPr/>
      </w:pPr>
      <w:r>
        <w:rPr/>
      </w:r>
    </w:p>
    <w:sectPr>
      <w:type w:val="nextPage"/>
      <w:pgSz w:w="12240" w:h="15840"/>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12"/>
    </w:pPr>
    <w:rPr>
      <w:rFonts w:ascii="Arial;sans-serif" w:hAnsi="Arial;sans-serif" w:eastAsia="Arial;sans-serif" w:cs="Arial;sans-serif"/>
      <w:color w:val="auto"/>
      <w:sz w:val="21"/>
      <w:szCs w:val="21"/>
      <w:lang w:val="en-US" w:eastAsia="zh-CN" w:bidi="hi-IN"/>
    </w:rPr>
  </w:style>
  <w:style w:type="paragraph" w:styleId="Heading1">
    <w:name w:val="Heading 1"/>
    <w:basedOn w:val="Heading"/>
    <w:next w:val="BodyText"/>
    <w:qFormat/>
    <w:pPr>
      <w:spacing w:before="240" w:after="40"/>
    </w:pPr>
    <w:rPr>
      <w:rFonts w:ascii="Arial;sans-serif" w:hAnsi="Arial;sans-serif" w:eastAsia="Arial;sans-serif" w:cs="Arial;sans-serif"/>
      <w:b/>
      <w:bCs/>
      <w:color w:val="1F3864"/>
      <w:sz w:val="36"/>
      <w:szCs w:val="36"/>
    </w:rPr>
  </w:style>
  <w:style w:type="paragraph" w:styleId="Heading2">
    <w:name w:val="Heading 2"/>
    <w:basedOn w:val="Heading"/>
    <w:next w:val="BodyText"/>
    <w:qFormat/>
    <w:pPr>
      <w:pBdr>
        <w:bottom w:val="single" w:sz="2" w:space="1" w:color="1F3864"/>
      </w:pBdr>
      <w:spacing w:before="280" w:after="120"/>
      <w:outlineLvl w:val="1"/>
    </w:pPr>
    <w:rPr>
      <w:rFonts w:ascii="Arial;sans-serif" w:hAnsi="Arial;sans-serif" w:eastAsia="Arial;sans-serif" w:cs="Arial;sans-serif"/>
      <w:b/>
      <w:bCs/>
      <w:color w:val="1F3864"/>
      <w:sz w:val="25"/>
      <w:szCs w:val="25"/>
    </w:rPr>
  </w:style>
  <w:style w:type="paragraph" w:styleId="Heading3">
    <w:name w:val="Heading 3"/>
    <w:basedOn w:val="Heading"/>
    <w:next w:val="BodyText"/>
    <w:qFormat/>
    <w:pPr>
      <w:spacing w:before="160" w:after="120"/>
      <w:outlineLvl w:val="2"/>
    </w:pPr>
    <w:rPr>
      <w:rFonts w:ascii="Arial;sans-serif" w:hAnsi="Arial;sans-serif" w:eastAsia="Arial;sans-serif" w:cs="Arial;sans-serif"/>
      <w:b/>
      <w:bCs/>
      <w:color w:val="2F5496"/>
      <w:sz w:val="22"/>
      <w:szCs w:val="2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Vendor and Third-Party Risk Management Policy</dc:title>
</cp:coreProperties>
</file>

<file path=docProps/custom.xml><?xml version="1.0" encoding="utf-8"?>
<Properties xmlns="http://schemas.openxmlformats.org/officeDocument/2006/custom-properties" xmlns:vt="http://schemas.openxmlformats.org/officeDocument/2006/docPropsVTypes"/>
</file>