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Vulnerability and Patch Management Policy</w:t>
      </w:r>
    </w:p>
    <w:tbl>
      <w:tblPr>
        <w:tblW w:w="5000" w:type="pct"/>
        <w:jc w:val="left"/>
        <w:tblInd w:w="-7" w:type="dxa"/>
        <w:tblLayout w:type="fixed"/>
        <w:tblCellMar>
          <w:top w:w="45" w:type="dxa"/>
          <w:left w:w="45" w:type="dxa"/>
          <w:bottom w:w="45" w:type="dxa"/>
          <w:right w:w="45" w:type="dxa"/>
        </w:tblCellMar>
      </w:tblPr>
      <w:tblGrid>
        <w:gridCol w:w="2040"/>
        <w:gridCol w:w="3629"/>
        <w:gridCol w:w="2040"/>
        <w:gridCol w:w="3629"/>
      </w:tblGrid>
      <w:tr>
        <w:trPr/>
        <w:tc>
          <w:tcPr>
            <w:tcW w:w="204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Organization</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[Company name]</w:t>
            </w:r>
          </w:p>
        </w:tc>
        <w:tc>
          <w:tcPr>
            <w:tcW w:w="2040"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Document ID</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POL-12</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Effective date</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[Date]</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Policy owner</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Chief Information Security Officer (CISO)</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Approved by</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[Name, Title]</w:t>
            </w:r>
          </w:p>
        </w:tc>
      </w:tr>
      <w:tr>
        <w:trPr/>
        <w:tc>
          <w:tcPr>
            <w:tcW w:w="2040" w:type="dxa"/>
            <w:tcBorders>
              <w:left w:val="single" w:sz="6"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Review frequency</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At least annually, and after any significant incident or change</w:t>
            </w:r>
          </w:p>
        </w:tc>
        <w:tc>
          <w:tcPr>
            <w:tcW w:w="2040" w:type="dxa"/>
            <w:tcBorders>
              <w:left w:val="single" w:sz="2"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Classification</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Internal</w:t>
            </w:r>
          </w:p>
        </w:tc>
      </w:tr>
    </w:tbl>
    <w:p>
      <w:pPr>
        <w:pStyle w:val="Heading2"/>
        <w:bidi w:val="0"/>
        <w:jc w:val="left"/>
        <w:rPr/>
      </w:pPr>
      <w:r>
        <w:rPr/>
        <w:t>1. Purpose</w:t>
      </w:r>
    </w:p>
    <w:p>
      <w:pPr>
        <w:pStyle w:val="BodyText"/>
        <w:bidi w:val="0"/>
        <w:jc w:val="left"/>
        <w:rPr/>
      </w:pPr>
      <w:r>
        <w:rPr/>
        <w:t>This policy ensures that technical vulnerabilities are identified, prioritized and remediated in time to prevent their exploitation.</w:t>
      </w:r>
    </w:p>
    <w:p>
      <w:pPr>
        <w:pStyle w:val="Heading2"/>
        <w:bidi w:val="0"/>
        <w:jc w:val="left"/>
        <w:rPr/>
      </w:pPr>
      <w:r>
        <w:rPr/>
        <w:t>2. Scope</w:t>
      </w:r>
    </w:p>
    <w:p>
      <w:pPr>
        <w:pStyle w:val="BodyText"/>
        <w:bidi w:val="0"/>
        <w:jc w:val="left"/>
        <w:rPr/>
      </w:pPr>
      <w:r>
        <w:rPr/>
        <w:t>Applies to all Organization systems: servers, workstations, network devices, applications, containers and cloud services.</w:t>
      </w:r>
    </w:p>
    <w:p>
      <w:pPr>
        <w:pStyle w:val="Heading2"/>
        <w:bidi w:val="0"/>
        <w:jc w:val="left"/>
        <w:rPr/>
      </w:pPr>
      <w:r>
        <w:rPr/>
        <w:t>3. Definitions</w:t>
      </w:r>
    </w:p>
    <w:tbl>
      <w:tblPr>
        <w:tblW w:w="5000" w:type="pct"/>
        <w:jc w:val="left"/>
        <w:tblInd w:w="-7" w:type="dxa"/>
        <w:tblLayout w:type="fixed"/>
        <w:tblCellMar>
          <w:top w:w="45" w:type="dxa"/>
          <w:left w:w="45" w:type="dxa"/>
          <w:bottom w:w="45" w:type="dxa"/>
          <w:right w:w="45" w:type="dxa"/>
        </w:tblCellMar>
      </w:tblPr>
      <w:tblGrid>
        <w:gridCol w:w="2493"/>
        <w:gridCol w:w="8845"/>
      </w:tblGrid>
      <w:tr>
        <w:trPr/>
        <w:tc>
          <w:tcPr>
            <w:tcW w:w="2493"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Term</w:t>
            </w:r>
          </w:p>
        </w:tc>
        <w:tc>
          <w:tcPr>
            <w:tcW w:w="884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Definition</w:t>
            </w:r>
          </w:p>
        </w:tc>
      </w:tr>
      <w:tr>
        <w:trPr/>
        <w:tc>
          <w:tcPr>
            <w:tcW w:w="249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Vulnerability</w:t>
            </w:r>
          </w:p>
        </w:tc>
        <w:tc>
          <w:tcPr>
            <w:tcW w:w="88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Weakness in software, hardware or configuration that can be exploited.</w:t>
            </w:r>
          </w:p>
        </w:tc>
      </w:tr>
      <w:tr>
        <w:trPr/>
        <w:tc>
          <w:tcPr>
            <w:tcW w:w="249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CVSS</w:t>
            </w:r>
          </w:p>
        </w:tc>
        <w:tc>
          <w:tcPr>
            <w:tcW w:w="88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Common Vulnerability Scoring System, a 0-10 severity score.</w:t>
            </w:r>
          </w:p>
        </w:tc>
      </w:tr>
      <w:tr>
        <w:trPr/>
        <w:tc>
          <w:tcPr>
            <w:tcW w:w="249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KEV</w:t>
            </w:r>
          </w:p>
        </w:tc>
        <w:tc>
          <w:tcPr>
            <w:tcW w:w="88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CISA's Known Exploited Vulnerabilities catalog: vulnerabilities being actively exploited.</w:t>
            </w:r>
          </w:p>
        </w:tc>
      </w:tr>
      <w:tr>
        <w:trPr/>
        <w:tc>
          <w:tcPr>
            <w:tcW w:w="2493"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Remediation</w:t>
            </w:r>
          </w:p>
        </w:tc>
        <w:tc>
          <w:tcPr>
            <w:tcW w:w="884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Patching, upgrading or reconfiguring to remove a vulnerability; mitigation reduces risk when remediation is not yet possible.</w:t>
            </w:r>
          </w:p>
        </w:tc>
      </w:tr>
    </w:tbl>
    <w:p>
      <w:pPr>
        <w:pStyle w:val="Heading2"/>
        <w:bidi w:val="0"/>
        <w:jc w:val="left"/>
        <w:rPr/>
      </w:pPr>
      <w:r>
        <w:rPr/>
        <w:t>4. Identification</w:t>
      </w:r>
    </w:p>
    <w:p>
      <w:pPr>
        <w:pStyle w:val="BodyText"/>
        <w:bidi w:val="0"/>
        <w:ind w:hanging="0" w:left="0" w:right="0"/>
        <w:jc w:val="left"/>
        <w:rPr/>
      </w:pPr>
      <w:r>
        <w:rPr/>
        <w:t xml:space="preserve">4.1 Authenticated vulnerability scans of internal systems run at least monthly, and of externally exposed systems at least monthly and after significant changes. </w:t>
      </w:r>
      <w:r>
        <w:rPr>
          <w:color w:val="595959"/>
          <w:sz w:val="16"/>
        </w:rPr>
        <w:t>[800-53: RA-5, RA-5(5) | 27002: 8.8 | CIS: 7.5, 7.6]</w:t>
      </w:r>
    </w:p>
    <w:p>
      <w:pPr>
        <w:pStyle w:val="BodyText"/>
        <w:bidi w:val="0"/>
        <w:ind w:hanging="0" w:left="0" w:right="0"/>
        <w:jc w:val="left"/>
        <w:rPr/>
      </w:pPr>
      <w:r>
        <w:rPr/>
        <w:t xml:space="preserve">4.2 The security team monitors vendor advisories, CISA KEV and threat intelligence for new vulnerabilities. </w:t>
      </w:r>
      <w:r>
        <w:rPr>
          <w:color w:val="595959"/>
          <w:sz w:val="16"/>
        </w:rPr>
        <w:t>[800-53: SI-5, RA-5 | 27002: 5.7, 8.8 | CIS: 7.1]</w:t>
      </w:r>
    </w:p>
    <w:p>
      <w:pPr>
        <w:pStyle w:val="Heading2"/>
        <w:bidi w:val="0"/>
        <w:jc w:val="left"/>
        <w:rPr/>
      </w:pPr>
      <w:r>
        <w:rPr/>
        <w:t>5. Prioritization and Remediation Timelines</w:t>
      </w:r>
    </w:p>
    <w:p>
      <w:pPr>
        <w:pStyle w:val="BodyText"/>
        <w:bidi w:val="0"/>
        <w:ind w:hanging="0" w:left="0" w:right="0"/>
        <w:jc w:val="left"/>
        <w:rPr/>
      </w:pPr>
      <w:r>
        <w:rPr/>
        <w:t xml:space="preserve">5.1 Vulnerabilities are prioritized by severity, exploitability (including KEV listing) and asset criticality. </w:t>
      </w:r>
      <w:r>
        <w:rPr>
          <w:color w:val="595959"/>
          <w:sz w:val="16"/>
        </w:rPr>
        <w:t>[800-53: RA-3, RA-5 | 27002: 8.8 | CIS: 7.2]</w:t>
      </w:r>
    </w:p>
    <w:p>
      <w:pPr>
        <w:pStyle w:val="BodyText"/>
        <w:bidi w:val="0"/>
        <w:ind w:hanging="0" w:left="0" w:right="0"/>
        <w:jc w:val="left"/>
        <w:rPr/>
      </w:pPr>
      <w:r>
        <w:rPr/>
        <w:t xml:space="preserve">5.2 Remediation deadlines from discovery: actively exploited or Critical (CVSS 9.0+) on exposed systems - 72 hours; Critical - 15 days; High - 30 days; Medium - 90 days; Low - next maintenance cycle. </w:t>
      </w:r>
      <w:r>
        <w:rPr>
          <w:color w:val="595959"/>
          <w:sz w:val="16"/>
        </w:rPr>
        <w:t>[800-53: SI-2, RA-5 | 27002: 8.8 | CIS: 7.2, 7.7]</w:t>
      </w:r>
    </w:p>
    <w:p>
      <w:pPr>
        <w:pStyle w:val="BodyText"/>
        <w:bidi w:val="0"/>
        <w:ind w:hanging="0" w:left="0" w:right="0"/>
        <w:jc w:val="left"/>
        <w:rPr/>
      </w:pPr>
      <w:r>
        <w:rPr/>
        <w:t xml:space="preserve">5.3 Operating system and application patches are deployed through an automated, tested process. </w:t>
      </w:r>
      <w:r>
        <w:rPr>
          <w:color w:val="595959"/>
          <w:sz w:val="16"/>
        </w:rPr>
        <w:t>[800-53: SI-2(2) | 27002: 8.8, 8.19 | CIS: 7.3, 7.4]</w:t>
      </w:r>
    </w:p>
    <w:p>
      <w:pPr>
        <w:pStyle w:val="BodyText"/>
        <w:bidi w:val="0"/>
        <w:ind w:hanging="0" w:left="0" w:right="0"/>
        <w:jc w:val="left"/>
        <w:rPr/>
      </w:pPr>
      <w:r>
        <w:rPr/>
        <w:t xml:space="preserve">5.4 Where a fix is not possible in time, compensating controls are applied and a risk exception is documented. </w:t>
      </w:r>
      <w:r>
        <w:rPr>
          <w:color w:val="595959"/>
          <w:sz w:val="16"/>
        </w:rPr>
        <w:t>[800-53: SI-2, PM-9 | 27002: 8.8 | CIS: 7.2]</w:t>
      </w:r>
    </w:p>
    <w:p>
      <w:pPr>
        <w:pStyle w:val="Heading2"/>
        <w:bidi w:val="0"/>
        <w:jc w:val="left"/>
        <w:rPr/>
      </w:pPr>
      <w:r>
        <w:rPr/>
        <w:t>6. Change Control and Verification</w:t>
      </w:r>
    </w:p>
    <w:p>
      <w:pPr>
        <w:pStyle w:val="BodyText"/>
        <w:bidi w:val="0"/>
        <w:ind w:hanging="0" w:left="0" w:right="0"/>
        <w:jc w:val="left"/>
        <w:rPr/>
      </w:pPr>
      <w:r>
        <w:rPr/>
        <w:t xml:space="preserve">6.1 Patches follow the Change Management Policy; emergency patches use the emergency change process. </w:t>
      </w:r>
      <w:r>
        <w:rPr>
          <w:color w:val="595959"/>
          <w:sz w:val="16"/>
        </w:rPr>
        <w:t>[800-53: CM-3, SI-2 | 27002: 8.32 | CIS: 7.2]</w:t>
      </w:r>
    </w:p>
    <w:p>
      <w:pPr>
        <w:pStyle w:val="BodyText"/>
        <w:bidi w:val="0"/>
        <w:ind w:hanging="0" w:left="0" w:right="0"/>
        <w:jc w:val="left"/>
        <w:rPr/>
      </w:pPr>
      <w:r>
        <w:rPr/>
        <w:t xml:space="preserve">6.2 Remediation is verified by rescanning. </w:t>
      </w:r>
      <w:r>
        <w:rPr>
          <w:color w:val="595959"/>
          <w:sz w:val="16"/>
        </w:rPr>
        <w:t>[800-53: RA-5, SI-2 | 27002: 8.8 | CIS: 7.7]</w:t>
      </w:r>
    </w:p>
    <w:p>
      <w:pPr>
        <w:pStyle w:val="Heading2"/>
        <w:bidi w:val="0"/>
        <w:jc w:val="left"/>
        <w:rPr/>
      </w:pPr>
      <w:r>
        <w:rPr/>
        <w:t>7. Reporting</w:t>
      </w:r>
    </w:p>
    <w:p>
      <w:pPr>
        <w:pStyle w:val="BodyText"/>
        <w:bidi w:val="0"/>
        <w:ind w:hanging="0" w:left="0" w:right="0"/>
        <w:jc w:val="left"/>
        <w:rPr/>
      </w:pPr>
      <w:r>
        <w:rPr/>
        <w:t xml:space="preserve">7.1 Open vulnerabilities and remediation status are reported to management monthly. </w:t>
      </w:r>
      <w:r>
        <w:rPr>
          <w:color w:val="595959"/>
          <w:sz w:val="16"/>
        </w:rPr>
        <w:t>[800-53: RA-5, PM-6 | 27002: 8.8 | CIS: 7.1]</w:t>
      </w:r>
    </w:p>
    <w:p>
      <w:pPr>
        <w:pStyle w:val="BodyText"/>
        <w:bidi w:val="0"/>
        <w:ind w:hanging="0" w:left="0" w:right="0"/>
        <w:jc w:val="left"/>
        <w:rPr/>
      </w:pPr>
      <w:r>
        <w:rPr/>
        <w:t xml:space="preserve">7.2 End-of-life software and systems are identified and replaced or isolated. </w:t>
      </w:r>
      <w:r>
        <w:rPr>
          <w:color w:val="595959"/>
          <w:sz w:val="16"/>
        </w:rPr>
        <w:t>[800-53: SA-22 | 27002: 8.8 | CIS: 2.2]</w:t>
      </w:r>
    </w:p>
    <w:p>
      <w:pPr>
        <w:pStyle w:val="Heading2"/>
        <w:bidi w:val="0"/>
        <w:jc w:val="left"/>
        <w:rPr/>
      </w:pPr>
      <w:r>
        <w:rPr/>
        <w:t>8. Compliance and Disciplinary Action</w:t>
      </w:r>
    </w:p>
    <w:p>
      <w:pPr>
        <w:pStyle w:val="BodyText"/>
        <w:bidi w:val="0"/>
        <w:ind w:hanging="0" w:left="0" w:right="0"/>
        <w:jc w:val="left"/>
        <w:rPr/>
      </w:pPr>
      <w:r>
        <w:rPr/>
        <w:t xml:space="preserve">8.1 Compliance with this document is mandatory for everyone in scope. Compliance is verified through technical monitoring, audits and management review. </w:t>
      </w:r>
      <w:r>
        <w:rPr>
          <w:color w:val="595959"/>
          <w:sz w:val="16"/>
        </w:rPr>
        <w:t>[800-53: CA-2, CA-7 | 27002: 5.36 | CIS: 17.9]</w:t>
      </w:r>
    </w:p>
    <w:p>
      <w:pPr>
        <w:pStyle w:val="BodyText"/>
        <w:bidi w:val="0"/>
        <w:ind w:hanging="0" w:left="0" w:right="0"/>
        <w:jc w:val="left"/>
        <w:rPr/>
      </w:pPr>
      <w:r>
        <w:rPr/>
        <w:t xml:space="preserve">8.2 Violations are handled through the Organization's formal disciplinary process, in proportion to the severity and intent of the violation: verbal or written warning, mandatory retraining, suspension or removal of access rights, and termination of employment or contract. Violations involving illegal activity are referred to law enforcement. </w:t>
      </w:r>
      <w:r>
        <w:rPr>
          <w:color w:val="595959"/>
          <w:sz w:val="16"/>
        </w:rPr>
        <w:t>[800-53: PS-8 | 27002: 6.4]</w:t>
      </w:r>
    </w:p>
    <w:p>
      <w:pPr>
        <w:pStyle w:val="BodyText"/>
        <w:bidi w:val="0"/>
        <w:ind w:hanging="0" w:left="0" w:right="0"/>
        <w:jc w:val="left"/>
        <w:rPr/>
      </w:pPr>
      <w:r>
        <w:rPr/>
        <w:t xml:space="preserve">8.3 Contractors, vendors and other third parties who violate this document may have their access revoked and their contract terminated, and may be held liable for resulting damages. </w:t>
      </w:r>
      <w:r>
        <w:rPr>
          <w:color w:val="595959"/>
          <w:sz w:val="16"/>
        </w:rPr>
        <w:t>[800-53: PS-7, SA-9 | 27002: 5.20 | CIS: 15.4]</w:t>
      </w:r>
    </w:p>
    <w:p>
      <w:pPr>
        <w:pStyle w:val="BodyText"/>
        <w:bidi w:val="0"/>
        <w:ind w:hanging="0" w:left="0" w:right="0"/>
        <w:jc w:val="left"/>
        <w:rPr/>
      </w:pPr>
      <w:r>
        <w:rPr/>
        <w:t xml:space="preserve">8.4 Personnel must report suspected violations to their manager or the Information Security team. Reports made in good faith are protected from retaliation. </w:t>
      </w:r>
      <w:r>
        <w:rPr>
          <w:color w:val="595959"/>
          <w:sz w:val="16"/>
        </w:rPr>
        <w:t>[800-53: IR-6 | 27002: 6.8 | CIS: 17.3]</w:t>
      </w:r>
    </w:p>
    <w:p>
      <w:pPr>
        <w:pStyle w:val="Heading2"/>
        <w:bidi w:val="0"/>
        <w:jc w:val="left"/>
        <w:rPr/>
      </w:pPr>
      <w:r>
        <w:rPr/>
        <w:t>9. Exceptions</w:t>
      </w:r>
    </w:p>
    <w:p>
      <w:pPr>
        <w:pStyle w:val="BodyText"/>
        <w:bidi w:val="0"/>
        <w:ind w:hanging="0" w:left="0" w:right="0"/>
        <w:jc w:val="left"/>
        <w:rPr/>
      </w:pPr>
      <w:r>
        <w:rPr/>
        <w:t xml:space="preserve">9.1 Any exception must be requested in writing, state the business justification, the risk and the compensating controls, and be approved by the CISO (and the system or data owner) before it takes effect. </w:t>
      </w:r>
      <w:r>
        <w:rPr>
          <w:color w:val="595959"/>
          <w:sz w:val="16"/>
        </w:rPr>
        <w:t>[800-53: PM-9, CA-7 | 27002: 5.1, 5.36]</w:t>
      </w:r>
    </w:p>
    <w:p>
      <w:pPr>
        <w:pStyle w:val="BodyText"/>
        <w:bidi w:val="0"/>
        <w:ind w:hanging="0" w:left="0" w:right="0"/>
        <w:jc w:val="left"/>
        <w:rPr/>
      </w:pPr>
      <w:r>
        <w:rPr/>
        <w:t xml:space="preserve">9.2 Approved exceptions are recorded in the exception register, are time-limited to a maximum of 12 months, and are re-evaluated before renewal. </w:t>
      </w:r>
      <w:r>
        <w:rPr>
          <w:color w:val="595959"/>
          <w:sz w:val="16"/>
        </w:rPr>
        <w:t>[800-53: PM-9 | 27002: 5.1]</w:t>
      </w:r>
    </w:p>
    <w:p>
      <w:pPr>
        <w:pStyle w:val="Heading2"/>
        <w:bidi w:val="0"/>
        <w:jc w:val="left"/>
        <w:rPr/>
      </w:pPr>
      <w:r>
        <w:rPr/>
        <w:t>10. Policy Review and Maintenance</w:t>
      </w:r>
    </w:p>
    <w:p>
      <w:pPr>
        <w:pStyle w:val="BodyText"/>
        <w:bidi w:val="0"/>
        <w:ind w:hanging="0" w:left="0" w:right="0"/>
        <w:jc w:val="left"/>
        <w:rPr/>
      </w:pPr>
      <w:r>
        <w:rPr/>
        <w:t xml:space="preserve">10.1 The policy owner reviews this document at least annually, and also after a significant security incident, a major change to systems or the business, a change in law or regulation, or an audit finding. </w:t>
      </w:r>
      <w:r>
        <w:rPr>
          <w:color w:val="595959"/>
          <w:sz w:val="16"/>
        </w:rPr>
        <w:t>[800-53: PL-1, PM-1 | 27002: 5.1, 5.35 | CIS: 14.1]</w:t>
      </w:r>
    </w:p>
    <w:p>
      <w:pPr>
        <w:pStyle w:val="BodyText"/>
        <w:bidi w:val="0"/>
        <w:ind w:hanging="0" w:left="0" w:right="0"/>
        <w:jc w:val="left"/>
        <w:rPr/>
      </w:pPr>
      <w:r>
        <w:rPr/>
        <w:t xml:space="preserve">10.2 Changes are approved by management, recorded in the revision history, and communicated to everyone in scope. Personnel acknowledge the current version. </w:t>
      </w:r>
      <w:r>
        <w:rPr>
          <w:color w:val="595959"/>
          <w:sz w:val="16"/>
        </w:rPr>
        <w:t>[800-53: PL-1, PL-4, PS-6 | 27002: 5.1, 6.2 | CIS: 14.1]</w:t>
      </w:r>
    </w:p>
    <w:p>
      <w:pPr>
        <w:pStyle w:val="Heading2"/>
        <w:bidi w:val="0"/>
        <w:jc w:val="left"/>
        <w:rPr/>
      </w:pPr>
      <w:r>
        <w:rPr/>
        <w:t>11. Control Mapping</w:t>
      </w:r>
    </w:p>
    <w:p>
      <w:pPr>
        <w:pStyle w:val="BodyText"/>
        <w:bidi w:val="0"/>
        <w:jc w:val="left"/>
        <w:rPr/>
      </w:pPr>
      <w:r>
        <w:rPr/>
        <w:t>Controls each section implements. NIST = NIST SP 800-53 Rev. 5; ISO = ISO/IEC 27002:2022; CIS = CIS Critical Security Controls v8.1 safeguards.</w:t>
      </w:r>
    </w:p>
    <w:tbl>
      <w:tblPr>
        <w:tblW w:w="5000" w:type="pct"/>
        <w:jc w:val="left"/>
        <w:tblInd w:w="-7" w:type="dxa"/>
        <w:tblLayout w:type="fixed"/>
        <w:tblCellMar>
          <w:top w:w="45" w:type="dxa"/>
          <w:left w:w="45" w:type="dxa"/>
          <w:bottom w:w="45" w:type="dxa"/>
          <w:right w:w="45" w:type="dxa"/>
        </w:tblCellMar>
      </w:tblPr>
      <w:tblGrid>
        <w:gridCol w:w="3175"/>
        <w:gridCol w:w="2948"/>
        <w:gridCol w:w="2494"/>
        <w:gridCol w:w="2721"/>
      </w:tblGrid>
      <w:tr>
        <w:trPr/>
        <w:tc>
          <w:tcPr>
            <w:tcW w:w="3175"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Section</w:t>
            </w:r>
          </w:p>
        </w:tc>
        <w:tc>
          <w:tcPr>
            <w:tcW w:w="2948"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NIST SP 800-53 Rev. 5</w:t>
            </w:r>
          </w:p>
        </w:tc>
        <w:tc>
          <w:tcPr>
            <w:tcW w:w="2494"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ISO/IEC 27002:2022</w:t>
            </w:r>
          </w:p>
        </w:tc>
        <w:tc>
          <w:tcPr>
            <w:tcW w:w="272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CIS Controls v8.1</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Identification</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RA-5, RA-5(5), SI-5</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5.7, 8.8</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7.1, 7.5, 7.6</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Prioritization and Remediation Timelines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PM-9, RA-3, RA-5, SI-2, SI-2(2)</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8.8, 8.19</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7.2, 7.3, 7.4, 7.7</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Change Control and Verification</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CM-3, RA-5, SI-2</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8.8, 8.32</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7.2, 7.7</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Reporting</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PM-6, RA-5, SA-22</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8.8</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2.2, 7.1</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Compliance and Disciplinary Action</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CA-2, CA-7, IR-6, PS-7, PS-8, SA-9</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5.20, 5.36, 6.4, 6.8</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15.4, 17.3, 17.9</w:t>
            </w:r>
          </w:p>
        </w:tc>
      </w:tr>
      <w:tr>
        <w:trPr/>
        <w:tc>
          <w:tcPr>
            <w:tcW w:w="317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Exceptions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CA-7, PM-9</w:t>
            </w:r>
          </w:p>
        </w:tc>
        <w:tc>
          <w:tcPr>
            <w:tcW w:w="249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5.1, 5.36</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17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Policy Review and Maintenance</w:t>
            </w:r>
          </w:p>
        </w:tc>
        <w:tc>
          <w:tcPr>
            <w:tcW w:w="294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PL-1, PL-4, PM-1, PS-6</w:t>
            </w:r>
          </w:p>
        </w:tc>
        <w:tc>
          <w:tcPr>
            <w:tcW w:w="249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5.1, 5.35, 6.2</w:t>
            </w:r>
          </w:p>
        </w:tc>
        <w:tc>
          <w:tcPr>
            <w:tcW w:w="272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14.1</w:t>
            </w:r>
          </w:p>
        </w:tc>
      </w:tr>
    </w:tbl>
    <w:p>
      <w:pPr>
        <w:pStyle w:val="Heading2"/>
        <w:bidi w:val="0"/>
        <w:jc w:val="left"/>
        <w:rPr/>
      </w:pPr>
      <w:r>
        <w:rPr/>
        <w:t>12. Sources</w:t>
      </w:r>
    </w:p>
    <w:p>
      <w:pPr>
        <w:pStyle w:val="BodyText"/>
        <w:numPr>
          <w:ilvl w:val="0"/>
          <w:numId w:val="1"/>
        </w:numPr>
        <w:tabs>
          <w:tab w:val="clear" w:pos="1134"/>
          <w:tab w:val="left" w:pos="709" w:leader="none"/>
        </w:tabs>
        <w:bidi w:val="0"/>
        <w:spacing w:before="0" w:after="0"/>
        <w:ind w:hanging="283" w:left="709"/>
        <w:jc w:val="left"/>
        <w:rPr/>
      </w:pPr>
      <w:r>
        <w:rPr/>
        <w:t xml:space="preserve">NIST SP 800-53 Rev. 5, Security and Privacy Controls for Information Systems and Organizations </w:t>
      </w:r>
    </w:p>
    <w:p>
      <w:pPr>
        <w:pStyle w:val="BodyText"/>
        <w:numPr>
          <w:ilvl w:val="0"/>
          <w:numId w:val="1"/>
        </w:numPr>
        <w:tabs>
          <w:tab w:val="clear" w:pos="1134"/>
          <w:tab w:val="left" w:pos="709" w:leader="none"/>
        </w:tabs>
        <w:bidi w:val="0"/>
        <w:spacing w:before="0" w:after="0"/>
        <w:ind w:hanging="283" w:left="709"/>
        <w:jc w:val="left"/>
        <w:rPr/>
      </w:pPr>
      <w:r>
        <w:rPr/>
        <w:t xml:space="preserve">ISO/IEC 27002:2022, Information security, cybersecurity and privacy protection - Information security controls </w:t>
      </w:r>
    </w:p>
    <w:p>
      <w:pPr>
        <w:pStyle w:val="BodyText"/>
        <w:numPr>
          <w:ilvl w:val="0"/>
          <w:numId w:val="1"/>
        </w:numPr>
        <w:tabs>
          <w:tab w:val="clear" w:pos="1134"/>
          <w:tab w:val="left" w:pos="709" w:leader="none"/>
        </w:tabs>
        <w:bidi w:val="0"/>
        <w:spacing w:before="0" w:after="0"/>
        <w:ind w:hanging="283" w:left="709"/>
        <w:jc w:val="left"/>
        <w:rPr/>
      </w:pPr>
      <w:r>
        <w:rPr/>
        <w:t xml:space="preserve">Center for Internet Security (CIS) Critical Security Controls v8.1 </w:t>
      </w:r>
    </w:p>
    <w:p>
      <w:pPr>
        <w:pStyle w:val="BodyText"/>
        <w:numPr>
          <w:ilvl w:val="0"/>
          <w:numId w:val="1"/>
        </w:numPr>
        <w:tabs>
          <w:tab w:val="clear" w:pos="1134"/>
          <w:tab w:val="left" w:pos="709" w:leader="none"/>
        </w:tabs>
        <w:bidi w:val="0"/>
        <w:spacing w:before="0" w:after="0"/>
        <w:ind w:hanging="283" w:left="709"/>
        <w:jc w:val="left"/>
        <w:rPr/>
      </w:pPr>
      <w:r>
        <w:rPr/>
        <w:t xml:space="preserve">NIST SP 800-40 Rev. 4, Guide to Enterprise Patch Management Planning </w:t>
      </w:r>
    </w:p>
    <w:p>
      <w:pPr>
        <w:pStyle w:val="BodyText"/>
        <w:numPr>
          <w:ilvl w:val="0"/>
          <w:numId w:val="1"/>
        </w:numPr>
        <w:tabs>
          <w:tab w:val="clear" w:pos="1134"/>
          <w:tab w:val="left" w:pos="709" w:leader="none"/>
        </w:tabs>
        <w:bidi w:val="0"/>
        <w:ind w:hanging="283" w:left="709"/>
        <w:jc w:val="left"/>
        <w:rPr/>
      </w:pPr>
      <w:r>
        <w:rPr/>
        <w:t xml:space="preserve">CISA Known Exploited Vulnerabilities Catalog </w:t>
      </w:r>
    </w:p>
    <w:p>
      <w:pPr>
        <w:pStyle w:val="Heading2"/>
        <w:bidi w:val="0"/>
        <w:jc w:val="left"/>
        <w:rPr/>
      </w:pPr>
      <w:r>
        <w:rPr/>
        <w:t>13. Revision History</w:t>
      </w:r>
    </w:p>
    <w:tbl>
      <w:tblPr>
        <w:tblW w:w="5000" w:type="pct"/>
        <w:jc w:val="left"/>
        <w:tblInd w:w="-7" w:type="dxa"/>
        <w:tblLayout w:type="fixed"/>
        <w:tblCellMar>
          <w:top w:w="45" w:type="dxa"/>
          <w:left w:w="45" w:type="dxa"/>
          <w:bottom w:w="45" w:type="dxa"/>
          <w:right w:w="45" w:type="dxa"/>
        </w:tblCellMar>
      </w:tblPr>
      <w:tblGrid>
        <w:gridCol w:w="1360"/>
        <w:gridCol w:w="2041"/>
        <w:gridCol w:w="2835"/>
        <w:gridCol w:w="5102"/>
      </w:tblGrid>
      <w:tr>
        <w:trPr/>
        <w:tc>
          <w:tcPr>
            <w:tcW w:w="136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204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Date</w:t>
            </w:r>
          </w:p>
        </w:tc>
        <w:tc>
          <w:tcPr>
            <w:tcW w:w="283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Author</w:t>
            </w:r>
          </w:p>
        </w:tc>
        <w:tc>
          <w:tcPr>
            <w:tcW w:w="510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Change</w:t>
            </w:r>
          </w:p>
        </w:tc>
      </w:tr>
      <w:tr>
        <w:trPr/>
        <w:tc>
          <w:tcPr>
            <w:tcW w:w="136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1.0</w:t>
            </w:r>
          </w:p>
        </w:tc>
        <w:tc>
          <w:tcPr>
            <w:tcW w:w="204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[Date]</w:t>
            </w:r>
          </w:p>
        </w:tc>
        <w:tc>
          <w:tcPr>
            <w:tcW w:w="283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[Team #]</w:t>
            </w:r>
          </w:p>
        </w:tc>
        <w:tc>
          <w:tcPr>
            <w:tcW w:w="510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Initial release</w:t>
            </w:r>
          </w:p>
        </w:tc>
      </w:tr>
    </w:tbl>
    <w:p>
      <w:pPr>
        <w:pStyle w:val="BodyText"/>
        <w:bidi w:val="0"/>
        <w:spacing w:before="0" w:after="283"/>
        <w:jc w:val="left"/>
        <w:rPr/>
      </w:pPr>
      <w:r>
        <w:rPr/>
      </w:r>
    </w:p>
    <w:sectPr>
      <w:type w:val="nextPage"/>
      <w:pgSz w:w="12240" w:h="15840"/>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2"/>
    </w:pPr>
    <w:rPr>
      <w:rFonts w:ascii="Arial;sans-serif" w:hAnsi="Arial;sans-serif" w:eastAsia="Arial;sans-serif" w:cs="Arial;sans-serif"/>
      <w:color w:val="auto"/>
      <w:sz w:val="21"/>
      <w:szCs w:val="21"/>
      <w:lang w:val="en-US" w:eastAsia="zh-CN" w:bidi="hi-IN"/>
    </w:rPr>
  </w:style>
  <w:style w:type="paragraph" w:styleId="Heading1">
    <w:name w:val="Heading 1"/>
    <w:basedOn w:val="Heading"/>
    <w:next w:val="BodyText"/>
    <w:qFormat/>
    <w:pPr>
      <w:spacing w:before="240" w:after="40"/>
    </w:pPr>
    <w:rPr>
      <w:rFonts w:ascii="Arial;sans-serif" w:hAnsi="Arial;sans-serif" w:eastAsia="Arial;sans-serif" w:cs="Arial;sans-serif"/>
      <w:b/>
      <w:bCs/>
      <w:color w:val="1F3864"/>
      <w:sz w:val="36"/>
      <w:szCs w:val="36"/>
    </w:rPr>
  </w:style>
  <w:style w:type="paragraph" w:styleId="Heading2">
    <w:name w:val="Heading 2"/>
    <w:basedOn w:val="Heading"/>
    <w:next w:val="BodyText"/>
    <w:qFormat/>
    <w:pPr>
      <w:pBdr>
        <w:bottom w:val="single" w:sz="2" w:space="1" w:color="1F3864"/>
      </w:pBdr>
      <w:spacing w:before="280" w:after="120"/>
      <w:outlineLvl w:val="1"/>
    </w:pPr>
    <w:rPr>
      <w:rFonts w:ascii="Arial;sans-serif" w:hAnsi="Arial;sans-serif" w:eastAsia="Arial;sans-serif" w:cs="Arial;sans-serif"/>
      <w:b/>
      <w:bCs/>
      <w:color w:val="1F3864"/>
      <w:sz w:val="25"/>
      <w:szCs w:val="25"/>
    </w:rPr>
  </w:style>
  <w:style w:type="paragraph" w:styleId="Heading3">
    <w:name w:val="Heading 3"/>
    <w:basedOn w:val="Heading"/>
    <w:next w:val="BodyText"/>
    <w:qFormat/>
    <w:pPr>
      <w:spacing w:before="160" w:after="120"/>
      <w:outlineLvl w:val="2"/>
    </w:pPr>
    <w:rPr>
      <w:rFonts w:ascii="Arial;sans-serif" w:hAnsi="Arial;sans-serif" w:eastAsia="Arial;sans-serif" w:cs="Arial;sans-serif"/>
      <w:b/>
      <w:bCs/>
      <w:color w:val="2F5496"/>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Vulnerability and Patch Management Policy</dc:title>
</cp:coreProperties>
</file>

<file path=docProps/custom.xml><?xml version="1.0" encoding="utf-8"?>
<Properties xmlns="http://schemas.openxmlformats.org/officeDocument/2006/custom-properties" xmlns:vt="http://schemas.openxmlformats.org/officeDocument/2006/docPropsVTypes"/>
</file>