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1.可视化界面交互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2.从dicom文件中导出患者信息以及检查的信息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3.对图像进行预处理：重采样，归一化，将像素值转化为HU值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4.图片配准，包括识别特征点，匹配特征点，最后配准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5.识别样本与患者图像的差异，用矩形框圈出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输入样本sample和患者图像patient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akaze探测器识别特征点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bfMatcher匹配，绘制匹配点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正式配准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调整图像大小使一致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计算两张图像的ssim相似度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最后在两个图像之间的不同部分绘制矩形边界框，识别差异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主界面：</w:t>
      </w:r>
    </w:p>
    <w:p>
      <w:r>
        <w:drawing>
          <wp:inline distT="0" distB="0" distL="114300" distR="114300">
            <wp:extent cx="5273675" cy="3967480"/>
            <wp:effectExtent l="0" t="0" r="1460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导出患者资料：</w:t>
      </w:r>
    </w:p>
    <w:p>
      <w:r>
        <w:drawing>
          <wp:inline distT="0" distB="0" distL="114300" distR="114300">
            <wp:extent cx="5269865" cy="3843655"/>
            <wp:effectExtent l="0" t="0" r="317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分析患者图片：</w:t>
      </w:r>
    </w:p>
    <w:p>
      <w:r>
        <w:drawing>
          <wp:inline distT="0" distB="0" distL="114300" distR="114300">
            <wp:extent cx="5271135" cy="422148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图片处理：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左：样本，右：患者图片</w:t>
      </w:r>
    </w:p>
    <w:p>
      <w:r>
        <w:drawing>
          <wp:inline distT="0" distB="0" distL="114300" distR="114300">
            <wp:extent cx="5273675" cy="3024505"/>
            <wp:effectExtent l="0" t="0" r="146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分别用两种方法进行的特征点匹配</w:t>
      </w:r>
    </w:p>
    <w:p>
      <w:r>
        <w:drawing>
          <wp:inline distT="0" distB="0" distL="114300" distR="114300">
            <wp:extent cx="5268595" cy="4970145"/>
            <wp:effectExtent l="0" t="0" r="444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7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患者图片配准后：</w:t>
      </w:r>
    </w:p>
    <w:p>
      <w:r>
        <w:drawing>
          <wp:inline distT="0" distB="0" distL="114300" distR="114300">
            <wp:extent cx="2720340" cy="317754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用矩形圈出差异点：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253740"/>
            <wp:effectExtent l="0" t="0" r="63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1341EA"/>
    <w:rsid w:val="3FDC6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user</dc:creator>
  <cp:lastModifiedBy>蕴姐叫笨坐笨不得不坐</cp:lastModifiedBy>
  <dcterms:modified xsi:type="dcterms:W3CDTF">2020-05-06T16:25:22Z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