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a365d"/>
          <w:sz w:val="40"/>
          <w:szCs w:val="40"/>
        </w:rPr>
        <w:t xml:space="preserve">CHRISTIAN AI BENCHMARK (CAB) v2.0</w:t>
      </w:r>
    </w:p>
    <w:p>
      <w:pPr>
        <w:spacing w:after="300"/>
        <w:jc w:val="center"/>
      </w:pPr>
      <w:r>
        <w:rPr>
          <w:color w:val="4a5568"/>
          <w:sz w:val="24"/>
          <w:szCs w:val="24"/>
        </w:rPr>
        <w:t xml:space="preserve">Executive Summary — One Pager</w:t>
      </w:r>
    </w:p>
    <w:p>
      <w:pPr>
        <w:shd w:fill="fef3c7" w:val="clear"/>
        <w:spacing w:after="100"/>
      </w:pPr>
      <w:r>
        <w:rPr>
          <w:b/>
          <w:bCs/>
          <w:color w:val="92400e"/>
          <w:sz w:val="24"/>
          <w:szCs w:val="24"/>
        </w:rPr>
        <w:t xml:space="preserve">⚠️ THE PROBLEM</w:t>
      </w:r>
    </w:p>
    <w:p>
      <w:pPr>
        <w:spacing w:after="200"/>
      </w:pPr>
      <w:r>
        <w:rPr>
          <w:sz w:val="22"/>
          <w:szCs w:val="22"/>
        </w:rPr>
        <w:t xml:space="preserve">AI assistants are increasingly used for spiritual guidance, theological questions, and pastoral care. But no one knows which models can be trusted. Current benchmarks either ignore Christianity entirely or come from vendors with commercial conflicts of interest.</w:t>
      </w:r>
    </w:p>
    <w:p>
      <w:pPr>
        <w:shd w:fill="d1fae5" w:val="clear"/>
        <w:spacing w:after="100"/>
      </w:pPr>
      <w:r>
        <w:rPr>
          <w:b/>
          <w:bCs/>
          <w:color w:val="065f46"/>
          <w:sz w:val="24"/>
          <w:szCs w:val="24"/>
        </w:rPr>
        <w:t xml:space="preserve">✅ THE SOLUTION</w:t>
      </w:r>
    </w:p>
    <w:p>
      <w:pPr>
        <w:spacing w:after="200"/>
      </w:pPr>
      <w:r>
        <w:rPr>
          <w:sz w:val="22"/>
          <w:szCs w:val="22"/>
        </w:rPr>
        <w:t xml:space="preserve">CAB v2.0 is the first fully transparent, theologically rigorous benchmark for evaluating AI on Christian knowledge and pastoral care. It's open source, independent, and covers the full breadth of Christian tradition.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CCCCCC" w:sz="1"/>
              <w:left w:val="single" w:color="CCCCCC" w:sz="1"/>
              <w:bottom w:val="single" w:color="CCCCCC" w:sz="1"/>
              <w:right w:val="single" w:color="CCCCCC" w:sz="1"/>
            </w:tcBorders>
            <w:shd w:fill="1a365d" w:val="clear"/>
          </w:tcPr>
          <w:p>
            <w:pPr>
              <w:jc w:val="center"/>
            </w:pPr>
            <w:r>
              <w:rPr>
                <w:b/>
                <w:bCs/>
                <w:color w:val="FFFFFF"/>
                <w:sz w:val="36"/>
                <w:szCs w:val="36"/>
              </w:rPr>
              <w:t xml:space="preserve">1,150</w:t>
            </w:r>
          </w:p>
          <w:p>
            <w:pPr>
              <w:jc w:val="center"/>
            </w:pPr>
            <w:r>
              <w:rPr>
                <w:color w:val="FFFFFF"/>
                <w:sz w:val="20"/>
                <w:szCs w:val="20"/>
              </w:rPr>
              <w:t xml:space="preserve">Questions</w:t>
            </w:r>
          </w:p>
        </w:tc>
        <w:tc>
          <w:tcPr>
            <w:tcW w:type="dxa" w:w="2500"/>
            <w:tcBorders>
              <w:top w:val="single" w:color="CCCCCC" w:sz="1"/>
              <w:left w:val="single" w:color="CCCCCC" w:sz="1"/>
              <w:bottom w:val="single" w:color="CCCCCC" w:sz="1"/>
              <w:right w:val="single" w:color="CCCCCC" w:sz="1"/>
            </w:tcBorders>
            <w:shd w:fill="2c5282" w:val="clear"/>
          </w:tcPr>
          <w:p>
            <w:pPr>
              <w:jc w:val="center"/>
            </w:pPr>
            <w:r>
              <w:rPr>
                <w:b/>
                <w:bCs/>
                <w:color w:val="FFFFFF"/>
                <w:sz w:val="36"/>
                <w:szCs w:val="36"/>
              </w:rPr>
              <w:t xml:space="preserve">10</w:t>
            </w:r>
          </w:p>
          <w:p>
            <w:pPr>
              <w:jc w:val="center"/>
            </w:pPr>
            <w:r>
              <w:rPr>
                <w:color w:val="FFFFFF"/>
                <w:sz w:val="20"/>
                <w:szCs w:val="20"/>
              </w:rPr>
              <w:t xml:space="preserve">Dimensions</w:t>
            </w:r>
          </w:p>
        </w:tc>
        <w:tc>
          <w:tcPr>
            <w:tcW w:type="dxa" w:w="2500"/>
            <w:tcBorders>
              <w:top w:val="single" w:color="CCCCCC" w:sz="1"/>
              <w:left w:val="single" w:color="CCCCCC" w:sz="1"/>
              <w:bottom w:val="single" w:color="CCCCCC" w:sz="1"/>
              <w:right w:val="single" w:color="CCCCCC" w:sz="1"/>
            </w:tcBorders>
            <w:shd w:fill="3182ce" w:val="clear"/>
          </w:tcPr>
          <w:p>
            <w:pPr>
              <w:jc w:val="center"/>
            </w:pPr>
            <w:r>
              <w:rPr>
                <w:b/>
                <w:bCs/>
                <w:color w:val="FFFFFF"/>
                <w:sz w:val="36"/>
                <w:szCs w:val="36"/>
              </w:rPr>
              <w:t xml:space="preserve">10</w:t>
            </w:r>
          </w:p>
          <w:p>
            <w:pPr>
              <w:jc w:val="center"/>
            </w:pPr>
            <w:r>
              <w:rPr>
                <w:color w:val="FFFFFF"/>
                <w:sz w:val="20"/>
                <w:szCs w:val="20"/>
              </w:rPr>
              <w:t xml:space="preserve">Traditions</w:t>
            </w:r>
          </w:p>
        </w:tc>
        <w:tc>
          <w:tcPr>
            <w:tcW w:type="dxa" w:w="2500"/>
            <w:tcBorders>
              <w:top w:val="single" w:color="CCCCCC" w:sz="1"/>
              <w:left w:val="single" w:color="CCCCCC" w:sz="1"/>
              <w:bottom w:val="single" w:color="CCCCCC" w:sz="1"/>
              <w:right w:val="single" w:color="CCCCCC" w:sz="1"/>
            </w:tcBorders>
            <w:shd w:fill="4299e1" w:val="clear"/>
          </w:tcPr>
          <w:p>
            <w:pPr>
              <w:jc w:val="center"/>
            </w:pPr>
            <w:r>
              <w:rPr>
                <w:b/>
                <w:bCs/>
                <w:color w:val="FFFFFF"/>
                <w:sz w:val="36"/>
                <w:szCs w:val="36"/>
              </w:rPr>
              <w:t xml:space="preserve">100%</w:t>
            </w:r>
          </w:p>
          <w:p>
            <w:pPr>
              <w:jc w:val="center"/>
            </w:pPr>
            <w:r>
              <w:rPr>
                <w:color w:val="FFFFFF"/>
                <w:sz w:val="20"/>
                <w:szCs w:val="20"/>
              </w:rPr>
              <w:t xml:space="preserve">Open Source</w:t>
            </w:r>
          </w:p>
        </w:tc>
      </w:tr>
    </w:tbl>
    <w:p>
      <w:pPr>
        <w:spacing w:before="300" w:after="100"/>
      </w:pPr>
      <w:r>
        <w:rPr>
          <w:b/>
          <w:bCs/>
          <w:color w:val="1a365d"/>
          <w:sz w:val="24"/>
          <w:szCs w:val="24"/>
        </w:rPr>
        <w:t xml:space="preserve">📊 WHAT WE EVALUATE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single" w:color="CCCCCC" w:sz="1"/>
              <w:left w:val="single" w:color="CCCCCC" w:sz="1"/>
              <w:bottom w:val="single" w:color="CCCCCC" w:sz="1"/>
              <w:right w:val="none"/>
            </w:tcBorders>
          </w:tcPr>
          <w:p>
            <w:r>
              <w:rPr>
                <w:sz w:val="20"/>
                <w:szCs w:val="20"/>
              </w:rPr>
              <w:t xml:space="preserve">• Pastoral Care (200 questions)</w:t>
            </w:r>
          </w:p>
          <w:p>
            <w:r>
              <w:rPr>
                <w:sz w:val="20"/>
                <w:szCs w:val="20"/>
              </w:rPr>
              <w:t xml:space="preserve">• Biblical Literacy (150)</w:t>
            </w:r>
          </w:p>
          <w:p>
            <w:r>
              <w:rPr>
                <w:sz w:val="20"/>
                <w:szCs w:val="20"/>
              </w:rPr>
              <w:t xml:space="preserve">• Systematic Theology (150)</w:t>
            </w:r>
          </w:p>
          <w:p>
            <w:r>
              <w:rPr>
                <w:sz w:val="20"/>
                <w:szCs w:val="20"/>
              </w:rPr>
              <w:t xml:space="preserve">• Christian Ethics (150)</w:t>
            </w:r>
          </w:p>
          <w:p>
            <w:r>
              <w:rPr>
                <w:sz w:val="20"/>
                <w:szCs w:val="20"/>
              </w:rPr>
              <w:t xml:space="preserve">• Church History (100)</w:t>
            </w:r>
          </w:p>
        </w:tc>
        <w:tc>
          <w:tcPr>
            <w:tcW w:type="dxa" w:w="5000"/>
            <w:tcBorders>
              <w:top w:val="single" w:color="CCCCCC" w:sz="1"/>
              <w:left w:val="none"/>
              <w:bottom w:val="single" w:color="CCCCCC" w:sz="1"/>
              <w:right w:val="single" w:color="CCCCCC" w:sz="1"/>
            </w:tcBorders>
          </w:tcPr>
          <w:p>
            <w:r>
              <w:rPr>
                <w:sz w:val="20"/>
                <w:szCs w:val="20"/>
              </w:rPr>
              <w:t xml:space="preserve">• Worship &amp; Sacraments (100)</w:t>
            </w:r>
          </w:p>
          <w:p>
            <w:r>
              <w:rPr>
                <w:sz w:val="20"/>
                <w:szCs w:val="20"/>
              </w:rPr>
              <w:t xml:space="preserve">• Apologetics (100)</w:t>
            </w:r>
          </w:p>
          <w:p>
            <w:r>
              <w:rPr>
                <w:sz w:val="20"/>
                <w:szCs w:val="20"/>
              </w:rPr>
              <w:t xml:space="preserve">• Spiritual Formation (80)</w:t>
            </w:r>
          </w:p>
          <w:p>
            <w:r>
              <w:rPr>
                <w:sz w:val="20"/>
                <w:szCs w:val="20"/>
              </w:rPr>
              <w:t xml:space="preserve">• Denominational Awareness (70)</w:t>
            </w:r>
          </w:p>
          <w:p>
            <w:r>
              <w:rPr>
                <w:sz w:val="20"/>
                <w:szCs w:val="20"/>
              </w:rPr>
              <w:t xml:space="preserve">• Boundary Respect (50)</w:t>
            </w:r>
          </w:p>
        </w:tc>
      </w:tr>
    </w:tbl>
    <w:p>
      <w:pPr>
        <w:spacing w:before="300" w:after="100"/>
      </w:pPr>
      <w:r>
        <w:rPr>
          <w:b/>
          <w:bCs/>
          <w:color w:val="1a365d"/>
          <w:sz w:val="24"/>
          <w:szCs w:val="24"/>
        </w:rPr>
        <w:t xml:space="preserve">⚖️ CAB vs GLOO FAI-C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e2e8f0" w:val="clear"/>
          </w:tcPr>
          <w:p>
            <w:r>
              <w:rPr>
                <w:b/>
                <w:bCs/>
                <w:sz w:val="20"/>
                <w:szCs w:val="20"/>
              </w:rPr>
              <w:t xml:space="preserve">Feature</w:t>
            </w:r>
          </w:p>
        </w:tc>
        <w:tc>
          <w:tcPr>
            <w:tcBorders>
              <w:top w:val="single" w:color="CCCCCC" w:sz="1"/>
              <w:left w:val="single" w:color="CCCCCC" w:sz="1"/>
              <w:bottom w:val="single" w:color="CCCCCC" w:sz="1"/>
              <w:right w:val="single" w:color="CCCCCC" w:sz="1"/>
            </w:tcBorders>
            <w:shd w:fill="fed7d7" w:val="clear"/>
          </w:tcPr>
          <w:p>
            <w:pPr>
              <w:jc w:val="center"/>
            </w:pPr>
            <w:r>
              <w:rPr>
                <w:b/>
                <w:bCs/>
                <w:sz w:val="20"/>
                <w:szCs w:val="20"/>
              </w:rPr>
              <w:t xml:space="preserve">Gloo FAI-C</w:t>
            </w:r>
          </w:p>
        </w:tc>
        <w:tc>
          <w:tcPr>
            <w:tcBorders>
              <w:top w:val="single" w:color="CCCCCC" w:sz="1"/>
              <w:left w:val="single" w:color="CCCCCC" w:sz="1"/>
              <w:bottom w:val="single" w:color="CCCCCC" w:sz="1"/>
              <w:right w:val="single" w:color="CCCCCC" w:sz="1"/>
            </w:tcBorders>
            <w:shd w:fill="c6f6d5" w:val="clear"/>
          </w:tcPr>
          <w:p>
            <w:pPr>
              <w:jc w:val="center"/>
            </w:pPr>
            <w:r>
              <w:rPr>
                <w:b/>
                <w:bCs/>
                <w:sz w:val="20"/>
                <w:szCs w:val="20"/>
              </w:rPr>
              <w:t xml:space="preserve">CAB v2.0</w:t>
            </w:r>
          </w:p>
        </w:tc>
      </w:tr>
      <w:tr>
        <w:tc>
          <w:tcPr>
            <w:tcBorders>
              <w:top w:val="single" w:color="CCCCCC" w:sz="1"/>
              <w:left w:val="single" w:color="CCCCCC" w:sz="1"/>
              <w:bottom w:val="single" w:color="CCCCCC" w:sz="1"/>
              <w:right w:val="single" w:color="CCCCCC" w:sz="1"/>
            </w:tcBorders>
          </w:tcPr>
          <w:p>
            <w:r>
              <w:rPr>
                <w:sz w:val="20"/>
                <w:szCs w:val="20"/>
              </w:rPr>
              <w:t xml:space="preserve">Questions</w:t>
            </w:r>
          </w:p>
        </w:tc>
        <w:tc>
          <w:tcPr>
            <w:tcBorders>
              <w:top w:val="single" w:color="CCCCCC" w:sz="1"/>
              <w:left w:val="single" w:color="CCCCCC" w:sz="1"/>
              <w:bottom w:val="single" w:color="CCCCCC" w:sz="1"/>
              <w:right w:val="single" w:color="CCCCCC" w:sz="1"/>
            </w:tcBorders>
          </w:tcPr>
          <w:p>
            <w:pPr>
              <w:jc w:val="center"/>
            </w:pPr>
            <w:r>
              <w:rPr>
                <w:sz w:val="20"/>
                <w:szCs w:val="20"/>
              </w:rPr>
              <w:t xml:space="preserve">807 (closed)</w:t>
            </w:r>
          </w:p>
        </w:tc>
        <w:tc>
          <w:tcPr>
            <w:tcBorders>
              <w:top w:val="single" w:color="CCCCCC" w:sz="1"/>
              <w:left w:val="single" w:color="CCCCCC" w:sz="1"/>
              <w:bottom w:val="single" w:color="CCCCCC" w:sz="1"/>
              <w:right w:val="single" w:color="CCCCCC" w:sz="1"/>
            </w:tcBorders>
            <w:shd w:fill="f0fff4" w:val="clear"/>
          </w:tcPr>
          <w:p>
            <w:pPr>
              <w:jc w:val="center"/>
            </w:pPr>
            <w:r>
              <w:rPr>
                <w:b/>
                <w:bCs/>
                <w:sz w:val="20"/>
                <w:szCs w:val="20"/>
              </w:rPr>
              <w:t xml:space="preserve">1,150 (open)</w:t>
            </w:r>
          </w:p>
        </w:tc>
      </w:tr>
      <w:tr>
        <w:tc>
          <w:tcPr>
            <w:tcBorders>
              <w:top w:val="single" w:color="CCCCCC" w:sz="1"/>
              <w:left w:val="single" w:color="CCCCCC" w:sz="1"/>
              <w:bottom w:val="single" w:color="CCCCCC" w:sz="1"/>
              <w:right w:val="single" w:color="CCCCCC" w:sz="1"/>
            </w:tcBorders>
          </w:tcPr>
          <w:p>
            <w:r>
              <w:rPr>
                <w:sz w:val="20"/>
                <w:szCs w:val="20"/>
              </w:rPr>
              <w:t xml:space="preserve">Transparency</w:t>
            </w:r>
          </w:p>
        </w:tc>
        <w:tc>
          <w:tcPr>
            <w:tcBorders>
              <w:top w:val="single" w:color="CCCCCC" w:sz="1"/>
              <w:left w:val="single" w:color="CCCCCC" w:sz="1"/>
              <w:bottom w:val="single" w:color="CCCCCC" w:sz="1"/>
              <w:right w:val="single" w:color="CCCCCC" w:sz="1"/>
            </w:tcBorders>
          </w:tcPr>
          <w:p>
            <w:pPr>
              <w:jc w:val="center"/>
            </w:pPr>
            <w:r>
              <w:rPr>
                <w:sz w:val="20"/>
                <w:szCs w:val="20"/>
              </w:rPr>
              <w:t xml:space="preserve">Proprietary</w:t>
            </w:r>
          </w:p>
        </w:tc>
        <w:tc>
          <w:tcPr>
            <w:tcBorders>
              <w:top w:val="single" w:color="CCCCCC" w:sz="1"/>
              <w:left w:val="single" w:color="CCCCCC" w:sz="1"/>
              <w:bottom w:val="single" w:color="CCCCCC" w:sz="1"/>
              <w:right w:val="single" w:color="CCCCCC" w:sz="1"/>
            </w:tcBorders>
            <w:shd w:fill="f0fff4" w:val="clear"/>
          </w:tcPr>
          <w:p>
            <w:pPr>
              <w:jc w:val="center"/>
            </w:pPr>
            <w:r>
              <w:rPr>
                <w:b/>
                <w:bCs/>
                <w:sz w:val="20"/>
                <w:szCs w:val="20"/>
              </w:rPr>
              <w:t xml:space="preserve">CC BY-SA 4.0</w:t>
            </w:r>
          </w:p>
        </w:tc>
      </w:tr>
      <w:tr>
        <w:tc>
          <w:tcPr>
            <w:tcBorders>
              <w:top w:val="single" w:color="CCCCCC" w:sz="1"/>
              <w:left w:val="single" w:color="CCCCCC" w:sz="1"/>
              <w:bottom w:val="single" w:color="CCCCCC" w:sz="1"/>
              <w:right w:val="single" w:color="CCCCCC" w:sz="1"/>
            </w:tcBorders>
          </w:tcPr>
          <w:p>
            <w:r>
              <w:rPr>
                <w:sz w:val="20"/>
                <w:szCs w:val="20"/>
              </w:rPr>
              <w:t xml:space="preserve">Conflict of Interest</w:t>
            </w:r>
          </w:p>
        </w:tc>
        <w:tc>
          <w:tcPr>
            <w:tcBorders>
              <w:top w:val="single" w:color="CCCCCC" w:sz="1"/>
              <w:left w:val="single" w:color="CCCCCC" w:sz="1"/>
              <w:bottom w:val="single" w:color="CCCCCC" w:sz="1"/>
              <w:right w:val="single" w:color="CCCCCC" w:sz="1"/>
            </w:tcBorders>
          </w:tcPr>
          <w:p>
            <w:pPr>
              <w:jc w:val="center"/>
            </w:pPr>
            <w:r>
              <w:rPr>
                <w:sz w:val="20"/>
                <w:szCs w:val="20"/>
              </w:rPr>
              <w:t xml:space="preserve">Yes (vendor)</w:t>
            </w:r>
          </w:p>
        </w:tc>
        <w:tc>
          <w:tcPr>
            <w:tcBorders>
              <w:top w:val="single" w:color="CCCCCC" w:sz="1"/>
              <w:left w:val="single" w:color="CCCCCC" w:sz="1"/>
              <w:bottom w:val="single" w:color="CCCCCC" w:sz="1"/>
              <w:right w:val="single" w:color="CCCCCC" w:sz="1"/>
            </w:tcBorders>
            <w:shd w:fill="f0fff4" w:val="clear"/>
          </w:tcPr>
          <w:p>
            <w:pPr>
              <w:jc w:val="center"/>
            </w:pPr>
            <w:r>
              <w:rPr>
                <w:b/>
                <w:bCs/>
                <w:sz w:val="20"/>
                <w:szCs w:val="20"/>
              </w:rPr>
              <w:t xml:space="preserve">None</w:t>
            </w:r>
          </w:p>
        </w:tc>
      </w:tr>
      <w:tr>
        <w:tc>
          <w:tcPr>
            <w:tcBorders>
              <w:top w:val="single" w:color="CCCCCC" w:sz="1"/>
              <w:left w:val="single" w:color="CCCCCC" w:sz="1"/>
              <w:bottom w:val="single" w:color="CCCCCC" w:sz="1"/>
              <w:right w:val="single" w:color="CCCCCC" w:sz="1"/>
            </w:tcBorders>
          </w:tcPr>
          <w:p>
            <w:r>
              <w:rPr>
                <w:sz w:val="20"/>
                <w:szCs w:val="20"/>
              </w:rPr>
              <w:t xml:space="preserve">Denominations</w:t>
            </w:r>
          </w:p>
        </w:tc>
        <w:tc>
          <w:tcPr>
            <w:tcBorders>
              <w:top w:val="single" w:color="CCCCCC" w:sz="1"/>
              <w:left w:val="single" w:color="CCCCCC" w:sz="1"/>
              <w:bottom w:val="single" w:color="CCCCCC" w:sz="1"/>
              <w:right w:val="single" w:color="CCCCCC" w:sz="1"/>
            </w:tcBorders>
          </w:tcPr>
          <w:p>
            <w:pPr>
              <w:jc w:val="center"/>
            </w:pPr>
            <w:r>
              <w:rPr>
                <w:sz w:val="20"/>
                <w:szCs w:val="20"/>
              </w:rPr>
              <w:t xml:space="preserve">Undifferentiated</w:t>
            </w:r>
          </w:p>
        </w:tc>
        <w:tc>
          <w:tcPr>
            <w:tcBorders>
              <w:top w:val="single" w:color="CCCCCC" w:sz="1"/>
              <w:left w:val="single" w:color="CCCCCC" w:sz="1"/>
              <w:bottom w:val="single" w:color="CCCCCC" w:sz="1"/>
              <w:right w:val="single" w:color="CCCCCC" w:sz="1"/>
            </w:tcBorders>
            <w:shd w:fill="f0fff4" w:val="clear"/>
          </w:tcPr>
          <w:p>
            <w:pPr>
              <w:jc w:val="center"/>
            </w:pPr>
            <w:r>
              <w:rPr>
                <w:b/>
                <w:bCs/>
                <w:sz w:val="20"/>
                <w:szCs w:val="20"/>
              </w:rPr>
              <w:t xml:space="preserve">10 traditions</w:t>
            </w:r>
          </w:p>
        </w:tc>
      </w:tr>
    </w:tbl>
    <w:p>
      <w:pPr>
        <w:spacing w:before="300" w:after="100"/>
      </w:pPr>
      <w:r>
        <w:rPr>
          <w:b/>
          <w:bCs/>
          <w:color w:val="1a365d"/>
          <w:sz w:val="24"/>
          <w:szCs w:val="24"/>
        </w:rPr>
        <w:t xml:space="preserve">📈 SCORE INTERPRETATION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500"/>
            <w:tcBorders>
              <w:top w:val="single" w:color="CCCCCC" w:sz="1"/>
              <w:left w:val="single" w:color="CCCCCC" w:sz="1"/>
              <w:bottom w:val="single" w:color="CCCCCC" w:sz="1"/>
              <w:right w:val="single" w:color="CCCCCC" w:sz="1"/>
            </w:tcBorders>
            <w:shd w:fill="10b981" w:val="clear"/>
          </w:tcPr>
          <w:p>
            <w:pPr>
              <w:jc w:val="center"/>
            </w:pPr>
            <w:r>
              <w:rPr>
                <w:b/>
                <w:bCs/>
                <w:color w:val="FFFFFF"/>
                <w:sz w:val="20"/>
                <w:szCs w:val="20"/>
              </w:rPr>
              <w:t xml:space="preserve">90-100</w:t>
            </w:r>
          </w:p>
        </w:tc>
        <w:tc>
          <w:tcPr>
            <w:tcBorders>
              <w:top w:val="single" w:color="CCCCCC" w:sz="1"/>
              <w:left w:val="single" w:color="CCCCCC" w:sz="1"/>
              <w:bottom w:val="single" w:color="CCCCCC" w:sz="1"/>
              <w:right w:val="single" w:color="CCCCCC" w:sz="1"/>
            </w:tcBorders>
            <w:shd w:fill="d1fae5" w:val="clear"/>
          </w:tcPr>
          <w:p>
            <w:r>
              <w:rPr>
                <w:sz w:val="20"/>
                <w:szCs w:val="20"/>
              </w:rPr>
              <w:t xml:space="preserve">EXCEPTIONAL — Safe for sensitive pastoral applications</w:t>
            </w:r>
          </w:p>
        </w:tc>
      </w:tr>
      <w:tr>
        <w:tc>
          <w:tcPr>
            <w:tcBorders>
              <w:top w:val="single" w:color="CCCCCC" w:sz="1"/>
              <w:left w:val="single" w:color="CCCCCC" w:sz="1"/>
              <w:bottom w:val="single" w:color="CCCCCC" w:sz="1"/>
              <w:right w:val="single" w:color="CCCCCC" w:sz="1"/>
            </w:tcBorders>
            <w:shd w:fill="3b82f6" w:val="clear"/>
          </w:tcPr>
          <w:p>
            <w:pPr>
              <w:jc w:val="center"/>
            </w:pPr>
            <w:r>
              <w:rPr>
                <w:b/>
                <w:bCs/>
                <w:color w:val="FFFFFF"/>
                <w:sz w:val="20"/>
                <w:szCs w:val="20"/>
              </w:rPr>
              <w:t xml:space="preserve">75-89</w:t>
            </w:r>
          </w:p>
        </w:tc>
        <w:tc>
          <w:tcPr>
            <w:tcBorders>
              <w:top w:val="single" w:color="CCCCCC" w:sz="1"/>
              <w:left w:val="single" w:color="CCCCCC" w:sz="1"/>
              <w:bottom w:val="single" w:color="CCCCCC" w:sz="1"/>
              <w:right w:val="single" w:color="CCCCCC" w:sz="1"/>
            </w:tcBorders>
            <w:shd w:fill="dbeafe" w:val="clear"/>
          </w:tcPr>
          <w:p>
            <w:r>
              <w:rPr>
                <w:sz w:val="20"/>
                <w:szCs w:val="20"/>
              </w:rPr>
              <w:t xml:space="preserve">PROFICIENT — Good for general Christian education</w:t>
            </w:r>
          </w:p>
        </w:tc>
      </w:tr>
      <w:tr>
        <w:tc>
          <w:tcPr>
            <w:tcBorders>
              <w:top w:val="single" w:color="CCCCCC" w:sz="1"/>
              <w:left w:val="single" w:color="CCCCCC" w:sz="1"/>
              <w:bottom w:val="single" w:color="CCCCCC" w:sz="1"/>
              <w:right w:val="single" w:color="CCCCCC" w:sz="1"/>
            </w:tcBorders>
            <w:shd w:fill="f59e0b" w:val="clear"/>
          </w:tcPr>
          <w:p>
            <w:pPr>
              <w:jc w:val="center"/>
            </w:pPr>
            <w:r>
              <w:rPr>
                <w:b/>
                <w:bCs/>
                <w:color w:val="FFFFFF"/>
                <w:sz w:val="20"/>
                <w:szCs w:val="20"/>
              </w:rPr>
              <w:t xml:space="preserve">60-74</w:t>
            </w:r>
          </w:p>
        </w:tc>
        <w:tc>
          <w:tcPr>
            <w:tcBorders>
              <w:top w:val="single" w:color="CCCCCC" w:sz="1"/>
              <w:left w:val="single" w:color="CCCCCC" w:sz="1"/>
              <w:bottom w:val="single" w:color="CCCCCC" w:sz="1"/>
              <w:right w:val="single" w:color="CCCCCC" w:sz="1"/>
            </w:tcBorders>
            <w:shd w:fill="fef3c7" w:val="clear"/>
          </w:tcPr>
          <w:p>
            <w:r>
              <w:rPr>
                <w:sz w:val="20"/>
                <w:szCs w:val="20"/>
              </w:rPr>
              <w:t xml:space="preserve">ADEQUATE — Requires human oversight for pastoral matters</w:t>
            </w:r>
          </w:p>
        </w:tc>
      </w:tr>
      <w:tr>
        <w:tc>
          <w:tcPr>
            <w:tcBorders>
              <w:top w:val="single" w:color="CCCCCC" w:sz="1"/>
              <w:left w:val="single" w:color="CCCCCC" w:sz="1"/>
              <w:bottom w:val="single" w:color="CCCCCC" w:sz="1"/>
              <w:right w:val="single" w:color="CCCCCC" w:sz="1"/>
            </w:tcBorders>
            <w:shd w:fill="ef4444" w:val="clear"/>
          </w:tcPr>
          <w:p>
            <w:pPr>
              <w:jc w:val="center"/>
            </w:pPr>
            <w:r>
              <w:rPr>
                <w:b/>
                <w:bCs/>
                <w:color w:val="FFFFFF"/>
                <w:sz w:val="20"/>
                <w:szCs w:val="20"/>
              </w:rPr>
              <w:t xml:space="preserve">&lt;60</w:t>
            </w:r>
          </w:p>
        </w:tc>
        <w:tc>
          <w:tcPr>
            <w:tcBorders>
              <w:top w:val="single" w:color="CCCCCC" w:sz="1"/>
              <w:left w:val="single" w:color="CCCCCC" w:sz="1"/>
              <w:bottom w:val="single" w:color="CCCCCC" w:sz="1"/>
              <w:right w:val="single" w:color="CCCCCC" w:sz="1"/>
            </w:tcBorders>
            <w:shd w:fill="fee2e2" w:val="clear"/>
          </w:tcPr>
          <w:p>
            <w:r>
              <w:rPr>
                <w:sz w:val="20"/>
                <w:szCs w:val="20"/>
              </w:rPr>
              <w:t xml:space="preserve">DEFICIENT — Not recommended for ministry contexts</w:t>
            </w:r>
          </w:p>
        </w:tc>
      </w:tr>
    </w:tbl>
    <w:p>
      <w:pPr>
        <w:shd w:fill="f8fafc" w:val="clear"/>
        <w:spacing w:before="400"/>
        <w:jc w:val="center"/>
      </w:pPr>
      <w:r>
        <w:rPr>
          <w:b/>
          <w:bCs/>
          <w:color w:val="1a365d"/>
          <w:sz w:val="24"/>
          <w:szCs w:val="24"/>
        </w:rPr>
        <w:t xml:space="preserve">SoliDeoGloria.ai</w:t>
      </w:r>
      <w:r>
        <w:rPr>
          <w:color w:val="94a3b8"/>
          <w:sz w:val="24"/>
          <w:szCs w:val="24"/>
        </w:rPr>
        <w:t xml:space="preserve">  |  </w:t>
      </w:r>
      <w:r>
        <w:rPr>
          <w:color w:val="4a5568"/>
          <w:sz w:val="22"/>
          <w:szCs w:val="22"/>
        </w:rPr>
        <w:t xml:space="preserve">Open Source</w:t>
      </w:r>
      <w:r>
        <w:rPr>
          <w:color w:val="94a3b8"/>
          <w:sz w:val="24"/>
          <w:szCs w:val="24"/>
        </w:rPr>
        <w:t xml:space="preserve">  |  </w:t>
      </w:r>
      <w:r>
        <w:rPr>
          <w:color w:val="4a5568"/>
          <w:sz w:val="22"/>
          <w:szCs w:val="22"/>
        </w:rPr>
        <w:t xml:space="preserve">CC BY-SA 4.0</w:t>
      </w:r>
      <w:r>
        <w:rPr>
          <w:color w:val="94a3b8"/>
          <w:sz w:val="24"/>
          <w:szCs w:val="24"/>
        </w:rPr>
        <w:t xml:space="preserve">  |  </w:t>
      </w:r>
      <w:r>
        <w:rPr>
          <w:i/>
          <w:iCs/>
          <w:color w:val="4a5568"/>
          <w:sz w:val="22"/>
          <w:szCs w:val="22"/>
        </w:rPr>
        <w:t xml:space="preserve">Soli Deo Gloria</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2026-01-30T23:55:42.486Z</dcterms:created>
  <dcterms:modified xsi:type="dcterms:W3CDTF">2026-01-30T23:55:42.487Z</dcterms:modified>
</cp:coreProperties>
</file>

<file path=docProps/custom.xml><?xml version="1.0" encoding="utf-8"?>
<Properties xmlns="http://schemas.openxmlformats.org/officeDocument/2006/custom-properties" xmlns:vt="http://schemas.openxmlformats.org/officeDocument/2006/docPropsVTypes"/>
</file>