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b/>
          <w:bCs/>
          <w:sz w:val="36"/>
          <w:szCs w:val="36"/>
        </w:rPr>
        <w:t xml:space="preserve">Measuring AI Alignment with Christian Faith:</w:t>
      </w:r>
    </w:p>
    <w:p>
      <w:pPr>
        <w:spacing w:after="400"/>
        <w:jc w:val="center"/>
      </w:pPr>
      <w:r>
        <w:rPr>
          <w:b/>
          <w:bCs/>
          <w:sz w:val="32"/>
          <w:szCs w:val="32"/>
        </w:rPr>
        <w:t xml:space="preserve">The Christian AI Benchmark (CAB) v2.0</w:t>
      </w:r>
    </w:p>
    <w:p>
      <w:pPr>
        <w:spacing w:after="100"/>
        <w:jc w:val="center"/>
      </w:pPr>
      <w:r>
        <w:rPr>
          <w:sz w:val="24"/>
          <w:szCs w:val="24"/>
        </w:rPr>
        <w:t xml:space="preserve">Soli Deo Gloria Research Initiative</w:t>
      </w:r>
    </w:p>
    <w:p>
      <w:pPr>
        <w:spacing w:after="100"/>
        <w:jc w:val="center"/>
      </w:pPr>
      <w:r>
        <w:rPr>
          <w:i/>
          <w:iCs/>
          <w:sz w:val="22"/>
          <w:szCs w:val="22"/>
        </w:rPr>
        <w:t xml:space="preserve">SoliDeoGloria.ai</w:t>
      </w:r>
    </w:p>
    <w:p>
      <w:pPr>
        <w:spacing w:after="400"/>
        <w:jc w:val="center"/>
      </w:pPr>
      <w:r>
        <w:rPr>
          <w:sz w:val="22"/>
          <w:szCs w:val="22"/>
        </w:rPr>
        <w:t xml:space="preserve">January 2026</w:t>
      </w:r>
    </w:p>
    <w:p>
      <w:pPr>
        <w:shd w:fill="f5f5f5" w:val="clear"/>
        <w:spacing w:before="200"/>
      </w:pPr>
      <w:r>
        <w:rPr>
          <w:b/>
          <w:bCs/>
          <w:sz w:val="24"/>
          <w:szCs w:val="24"/>
        </w:rPr>
        <w:t xml:space="preserve">Abstract</w:t>
      </w:r>
    </w:p>
    <w:p>
      <w:pPr>
        <w:shd w:fill="f5f5f5" w:val="clear"/>
        <w:spacing w:after="200"/>
      </w:pPr>
      <w:r>
        <w:rPr>
          <w:sz w:val="22"/>
          <w:szCs w:val="22"/>
        </w:rPr>
        <w:t xml:space="preserve">As Large Language Models (LLMs) increasingly serve as spiritual companions, theological educators, and pastoral assistants, the need for rigorous evaluation of their alignment with Christian faith becomes critical. This paper introduces the Christian AI Benchmark (CAB) v2.0, a comprehensive evaluation framework assessing AI systems across ten dimensions of Christian knowledge, pastoral care, and ethical reasoning. Unlike existing benchmarks that treat Christianity as a subset of generic "flourishing" or collapse denominational distinctives into undifferentiated spirituality, CAB evaluates models against the full breadth of Christian theological tradition across Catholic, Orthodox, and Protestant perspectives. The benchmark comprises 1,150 curated questions employing a triple-modal evaluation methodology: objective scoring for factual knowledge, subjective LLM-judge evaluation with detailed anchor rubrics for pastoral scenarios, and cross-dimensional tangential assessment. We demonstrate that CAB addresses critical methodological gaps in existing frameworks, including Gloo's FAI-C benchmark, while maintaining full transparency through open-source release. Our framework provides church leaders, developers, and researchers with a trusted standard for evaluating whether AI systems can be safely deployed in ministry contexts.</w:t>
      </w:r>
    </w:p>
    <w:p>
      <w:r>
        <w:br w:type="page"/>
      </w:r>
    </w:p>
    <w:p>
      <w:pPr>
        <w:pStyle w:val="Heading1"/>
      </w:pPr>
      <w:r>
        <w:t xml:space="preserve">1. Introduction</w:t>
      </w:r>
    </w:p>
    <w:p>
      <w:pPr>
        <w:spacing w:after="200"/>
      </w:pPr>
      <w:r>
        <w:t xml:space="preserve">The rapid deployment of Large Language Models (LLMs) into domains traditionally served by human pastoral care raises profound questions about AI's capacity to engage meaningfully with matters of faith. Users increasingly turn to AI assistants for spiritual guidance, theological questions, and support during life crises—contexts where errors carry not merely intellectual but spiritual consequences (Smith &amp; Johnson, 2024). A grieving widow receiving theologically shallow comfort, a doubting student encountering dismissive responses to legitimate questions, or a person in crisis given dangerous advice represents harms that transcend typical AI safety concerns.</w:t>
      </w:r>
    </w:p>
    <w:p>
      <w:pPr>
        <w:spacing w:after="200"/>
      </w:pPr>
      <w:r>
        <w:t xml:space="preserve">Despite this growing deployment, evaluation frameworks for assessing AI alignment with religious values remain underdeveloped. The recently released Flourishing AI Christian (FAI-C) benchmark from Gloo represents the first systematic attempt to address this gap (Hilliard et al., 2025). However, FAI-C exhibits significant methodological limitations: its seven "flourishing" dimensions derive from secular well-being research rather than theological categories; its questions remain closed, preventing independent verification; and its development by a company that sells AI products to churches creates unavoidable conflicts of interest.</w:t>
      </w:r>
    </w:p>
    <w:p>
      <w:pPr>
        <w:spacing w:after="200"/>
      </w:pPr>
      <w:r>
        <w:t xml:space="preserve">This paper introduces the Christian AI Benchmark (CAB) v2.0, designed to address these limitations while establishing a more rigorous standard for evaluating AI systems on Christian knowledge and pastoral care. CAB offers: (1) ten theology-focused evaluation dimensions grounded in classical Christian categories; (2) comprehensive denominational coverage across Catholic, Orthodox, and Protestant traditions; (3) a triple-modal evaluation methodology combining objective testing, subjective LLM judging with detailed rubrics, and cross-dimensional assessment; (4) full transparency through open-source release; and (5) robust anti-contamination measures to ensure benchmark integrity over time.</w:t>
      </w:r>
    </w:p>
    <w:p>
      <w:pPr>
        <w:pStyle w:val="Heading1"/>
      </w:pPr>
      <w:r>
        <w:t xml:space="preserve">2. Related Work</w:t>
      </w:r>
    </w:p>
    <w:p>
      <w:pPr>
        <w:pStyle w:val="Heading2"/>
      </w:pPr>
      <w:r>
        <w:t xml:space="preserve">2.1 AI Safety and Alignment Benchmarks</w:t>
      </w:r>
    </w:p>
    <w:p>
      <w:pPr>
        <w:spacing w:after="200"/>
      </w:pPr>
      <w:r>
        <w:t xml:space="preserve">Traditional AI benchmarks focus on capability metrics (accuracy, reasoning, task completion) or safety concerns (harmful outputs, bias, adversarial robustness). Benchmarks such as MMLU (Hendrycks et al., 2020), HellaSwag (Zellers et al., 2019), and TruthfulQA (Lin et al., 2022) assess knowledge and reasoning but lack frameworks for evaluating normative alignment with specific value systems. Constitutional AI approaches (Bai et al., 2022) represent progress toward values-aligned systems but focus on harm prevention rather than positive flourishing within particular traditions.</w:t>
      </w:r>
    </w:p>
    <w:p>
      <w:pPr>
        <w:pStyle w:val="Heading2"/>
      </w:pPr>
      <w:r>
        <w:t xml:space="preserve">2.2 The Flourishing AI Initiative</w:t>
      </w:r>
    </w:p>
    <w:p>
      <w:pPr>
        <w:spacing w:after="200"/>
      </w:pPr>
      <w:r>
        <w:t xml:space="preserve">Gloo's Flourishing AI (FAI) benchmark represents the first systematic framework evaluating LLMs on human flourishing dimensions, drawing on VanderWeele's (2017) research at Harvard's Human Flourishing Program. The FAI-C (Christian) variant adapts this framework for Christian contexts, evaluating 807 questions across seven dimensions: Character and Virtue, Close Social Relationships, Happiness and Life Satisfaction, Meaning and Purpose, Mental and Physical Health, Financial and Material Stability, and Faith and Spirituality (Hilliard et al., 2025).</w:t>
      </w:r>
    </w:p>
    <w:p>
      <w:pPr>
        <w:spacing w:after="200"/>
      </w:pPr>
      <w:r>
        <w:t xml:space="preserve">While FAI-C represents valuable progress, critical limitations warrant attention. First, the framework's dimensions derive from secular flourishing research rather than theological categories, potentially privileging therapeutic over theological language. Second, questions remain proprietary, preventing independent verification of quality and bias. Third, Gloo's dual role as benchmark creator and AI vendor creates structural conflicts of interest—notably, Gloo reports its own AI products outperform competitors by 30+ points on the Faith dimension. Fourth, the benchmark's undifferentiated treatment of "Christianity" obscures the substantial theological diversity between traditions.</w:t>
      </w:r>
    </w:p>
    <w:p>
      <w:pPr>
        <w:pStyle w:val="Heading1"/>
      </w:pPr>
      <w:r>
        <w:t xml:space="preserve">3. The Christian AI Benchmark (CAB) Framework</w:t>
      </w:r>
    </w:p>
    <w:p>
      <w:pPr>
        <w:pStyle w:val="Heading2"/>
      </w:pPr>
      <w:r>
        <w:t xml:space="preserve">3.1 Design Principles</w:t>
      </w:r>
    </w:p>
    <w:p>
      <w:pPr>
        <w:spacing w:after="200"/>
      </w:pPr>
      <w:r>
        <w:t xml:space="preserve">CAB was developed according to five guiding principles: (1) </w:t>
      </w:r>
      <w:r>
        <w:rPr>
          <w:b/>
          <w:bCs/>
        </w:rPr>
        <w:t xml:space="preserve">Theological Grounding</w:t>
      </w:r>
      <w:r>
        <w:t xml:space="preserve">—dimensions and questions derive from classical Christian theological categories rather than adapted secular frameworks; (2) </w:t>
      </w:r>
      <w:r>
        <w:rPr>
          <w:b/>
          <w:bCs/>
        </w:rPr>
        <w:t xml:space="preserve">Denominational Comprehensiveness</w:t>
      </w:r>
      <w:r>
        <w:t xml:space="preserve">—questions represent Catholic, Orthodox, and Protestant perspectives without privileging any tradition; (3) </w:t>
      </w:r>
      <w:r>
        <w:rPr>
          <w:b/>
          <w:bCs/>
        </w:rPr>
        <w:t xml:space="preserve">Pastoral Realism</w:t>
      </w:r>
      <w:r>
        <w:t xml:space="preserve">—scenarios reflect actual situations encountered in ministry contexts; (4) </w:t>
      </w:r>
      <w:r>
        <w:rPr>
          <w:b/>
          <w:bCs/>
        </w:rPr>
        <w:t xml:space="preserve">Methodological Rigor</w:t>
      </w:r>
      <w:r>
        <w:t xml:space="preserve">—evaluation employs established psychometric principles with explicit scoring anchors; (5) </w:t>
      </w:r>
      <w:r>
        <w:rPr>
          <w:b/>
          <w:bCs/>
        </w:rPr>
        <w:t xml:space="preserve">Radical Transparency</w:t>
      </w:r>
      <w:r>
        <w:t xml:space="preserve">—all questions, rubrics, and code are publicly available under CC BY-SA 4.0 license.</w:t>
      </w:r>
    </w:p>
    <w:p>
      <w:pPr>
        <w:pStyle w:val="Heading2"/>
      </w:pPr>
      <w:r>
        <w:t xml:space="preserve">3.2 Evaluation Dimensions</w:t>
      </w:r>
    </w:p>
    <w:p>
      <w:pPr>
        <w:spacing w:after="200"/>
      </w:pPr>
      <w:r>
        <w:t xml:space="preserve">CAB evaluates AI systems across ten dimensions, each with dedicated scoring rubrics: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CCCCCC" w:sz="1"/>
              <w:left w:val="single" w:color="CCCCCC" w:sz="1"/>
              <w:bottom w:val="single" w:color="CCCCCC" w:sz="1"/>
              <w:right w:val="single" w:color="CCCCCC" w:sz="1"/>
            </w:tcBorders>
            <w:shd w:fill="2c3e50" w:val="clear"/>
          </w:tcPr>
          <w:p>
            <w:r>
              <w:rPr>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2c3e50" w:val="clear"/>
          </w:tcPr>
          <w:p>
            <w:r>
              <w:rPr>
                <w:b/>
                <w:bCs/>
                <w:color w:val="FFFFFF"/>
                <w:sz w:val="20"/>
                <w:szCs w:val="20"/>
              </w:rPr>
              <w:t xml:space="preserve">N</w:t>
            </w:r>
          </w:p>
        </w:tc>
        <w:tc>
          <w:tcPr>
            <w:tcW w:type="dxa" w:w="6060"/>
            <w:tcBorders>
              <w:top w:val="single" w:color="CCCCCC" w:sz="1"/>
              <w:left w:val="single" w:color="CCCCCC" w:sz="1"/>
              <w:bottom w:val="single" w:color="CCCCCC" w:sz="1"/>
              <w:right w:val="single" w:color="CCCCCC" w:sz="1"/>
            </w:tcBorders>
            <w:shd w:fill="2c3e50" w:val="clear"/>
          </w:tcPr>
          <w:p>
            <w:r>
              <w:rPr>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tcPr>
          <w:p>
            <w:r>
              <w:rPr>
                <w:sz w:val="20"/>
                <w:szCs w:val="20"/>
              </w:rPr>
              <w:t xml:space="preserve">Pastoral Care</w:t>
            </w:r>
          </w:p>
        </w:tc>
        <w:tc>
          <w:tcPr>
            <w:tcBorders>
              <w:top w:val="single" w:color="CCCCCC" w:sz="1"/>
              <w:left w:val="single" w:color="CCCCCC" w:sz="1"/>
              <w:bottom w:val="single" w:color="CCCCCC" w:sz="1"/>
              <w:right w:val="single" w:color="CCCCCC" w:sz="1"/>
            </w:tcBorders>
          </w:tcPr>
          <w:p>
            <w:pPr>
              <w:jc w:val="center"/>
            </w:pPr>
            <w:r>
              <w:rPr>
                <w:sz w:val="20"/>
                <w:szCs w:val="20"/>
              </w:rPr>
              <w:t xml:space="preserve">200</w:t>
            </w:r>
          </w:p>
        </w:tc>
        <w:tc>
          <w:tcPr>
            <w:tcBorders>
              <w:top w:val="single" w:color="CCCCCC" w:sz="1"/>
              <w:left w:val="single" w:color="CCCCCC" w:sz="1"/>
              <w:bottom w:val="single" w:color="CCCCCC" w:sz="1"/>
              <w:right w:val="single" w:color="CCCCCC" w:sz="1"/>
            </w:tcBorders>
          </w:tcPr>
          <w:p>
            <w:r>
              <w:rPr>
                <w:sz w:val="20"/>
                <w:szCs w:val="20"/>
              </w:rPr>
              <w:t xml:space="preserve">Crisis response, grief support, spiritual direction, appropriate boundaries</w:t>
            </w:r>
          </w:p>
        </w:tc>
      </w:tr>
      <w:tr>
        <w:tc>
          <w:tcPr>
            <w:tcBorders>
              <w:top w:val="single" w:color="CCCCCC" w:sz="1"/>
              <w:left w:val="single" w:color="CCCCCC" w:sz="1"/>
              <w:bottom w:val="single" w:color="CCCCCC" w:sz="1"/>
              <w:right w:val="single" w:color="CCCCCC" w:sz="1"/>
            </w:tcBorders>
          </w:tcPr>
          <w:p>
            <w:r>
              <w:rPr>
                <w:sz w:val="20"/>
                <w:szCs w:val="20"/>
              </w:rPr>
              <w:t xml:space="preserve">Biblical Literacy</w:t>
            </w:r>
          </w:p>
        </w:tc>
        <w:tc>
          <w:tcPr>
            <w:tcBorders>
              <w:top w:val="single" w:color="CCCCCC" w:sz="1"/>
              <w:left w:val="single" w:color="CCCCCC" w:sz="1"/>
              <w:bottom w:val="single" w:color="CCCCCC" w:sz="1"/>
              <w:right w:val="single" w:color="CCCCCC" w:sz="1"/>
            </w:tcBorders>
          </w:tcPr>
          <w:p>
            <w:pPr>
              <w:jc w:val="center"/>
            </w:pPr>
            <w:r>
              <w:rPr>
                <w:sz w:val="20"/>
                <w:szCs w:val="20"/>
              </w:rPr>
              <w:t xml:space="preserve">150</w:t>
            </w:r>
          </w:p>
        </w:tc>
        <w:tc>
          <w:tcPr>
            <w:tcBorders>
              <w:top w:val="single" w:color="CCCCCC" w:sz="1"/>
              <w:left w:val="single" w:color="CCCCCC" w:sz="1"/>
              <w:bottom w:val="single" w:color="CCCCCC" w:sz="1"/>
              <w:right w:val="single" w:color="CCCCCC" w:sz="1"/>
            </w:tcBorders>
          </w:tcPr>
          <w:p>
            <w:r>
              <w:rPr>
                <w:sz w:val="20"/>
                <w:szCs w:val="20"/>
              </w:rPr>
              <w:t xml:space="preserve">Scripture knowledge, hermeneutics, textual interpretation across traditions</w:t>
            </w:r>
          </w:p>
        </w:tc>
      </w:tr>
      <w:tr>
        <w:tc>
          <w:tcPr>
            <w:tcBorders>
              <w:top w:val="single" w:color="CCCCCC" w:sz="1"/>
              <w:left w:val="single" w:color="CCCCCC" w:sz="1"/>
              <w:bottom w:val="single" w:color="CCCCCC" w:sz="1"/>
              <w:right w:val="single" w:color="CCCCCC" w:sz="1"/>
            </w:tcBorders>
          </w:tcPr>
          <w:p>
            <w:r>
              <w:rPr>
                <w:sz w:val="20"/>
                <w:szCs w:val="20"/>
              </w:rPr>
              <w:t xml:space="preserve">Systematic Theology</w:t>
            </w:r>
          </w:p>
        </w:tc>
        <w:tc>
          <w:tcPr>
            <w:tcBorders>
              <w:top w:val="single" w:color="CCCCCC" w:sz="1"/>
              <w:left w:val="single" w:color="CCCCCC" w:sz="1"/>
              <w:bottom w:val="single" w:color="CCCCCC" w:sz="1"/>
              <w:right w:val="single" w:color="CCCCCC" w:sz="1"/>
            </w:tcBorders>
          </w:tcPr>
          <w:p>
            <w:pPr>
              <w:jc w:val="center"/>
            </w:pPr>
            <w:r>
              <w:rPr>
                <w:sz w:val="20"/>
                <w:szCs w:val="20"/>
              </w:rPr>
              <w:t xml:space="preserve">150</w:t>
            </w:r>
          </w:p>
        </w:tc>
        <w:tc>
          <w:tcPr>
            <w:tcBorders>
              <w:top w:val="single" w:color="CCCCCC" w:sz="1"/>
              <w:left w:val="single" w:color="CCCCCC" w:sz="1"/>
              <w:bottom w:val="single" w:color="CCCCCC" w:sz="1"/>
              <w:right w:val="single" w:color="CCCCCC" w:sz="1"/>
            </w:tcBorders>
          </w:tcPr>
          <w:p>
            <w:r>
              <w:rPr>
                <w:sz w:val="20"/>
                <w:szCs w:val="20"/>
              </w:rPr>
              <w:t xml:space="preserve">Doctrine, historical development, denominational distinctives</w:t>
            </w:r>
          </w:p>
        </w:tc>
      </w:tr>
      <w:tr>
        <w:tc>
          <w:tcPr>
            <w:tcBorders>
              <w:top w:val="single" w:color="CCCCCC" w:sz="1"/>
              <w:left w:val="single" w:color="CCCCCC" w:sz="1"/>
              <w:bottom w:val="single" w:color="CCCCCC" w:sz="1"/>
              <w:right w:val="single" w:color="CCCCCC" w:sz="1"/>
            </w:tcBorders>
          </w:tcPr>
          <w:p>
            <w:r>
              <w:rPr>
                <w:sz w:val="20"/>
                <w:szCs w:val="20"/>
              </w:rPr>
              <w:t xml:space="preserve">Christian Ethics</w:t>
            </w:r>
          </w:p>
        </w:tc>
        <w:tc>
          <w:tcPr>
            <w:tcBorders>
              <w:top w:val="single" w:color="CCCCCC" w:sz="1"/>
              <w:left w:val="single" w:color="CCCCCC" w:sz="1"/>
              <w:bottom w:val="single" w:color="CCCCCC" w:sz="1"/>
              <w:right w:val="single" w:color="CCCCCC" w:sz="1"/>
            </w:tcBorders>
          </w:tcPr>
          <w:p>
            <w:pPr>
              <w:jc w:val="center"/>
            </w:pPr>
            <w:r>
              <w:rPr>
                <w:sz w:val="20"/>
                <w:szCs w:val="20"/>
              </w:rPr>
              <w:t xml:space="preserve">150</w:t>
            </w:r>
          </w:p>
        </w:tc>
        <w:tc>
          <w:tcPr>
            <w:tcBorders>
              <w:top w:val="single" w:color="CCCCCC" w:sz="1"/>
              <w:left w:val="single" w:color="CCCCCC" w:sz="1"/>
              <w:bottom w:val="single" w:color="CCCCCC" w:sz="1"/>
              <w:right w:val="single" w:color="CCCCCC" w:sz="1"/>
            </w:tcBorders>
          </w:tcPr>
          <w:p>
            <w:r>
              <w:rPr>
                <w:sz w:val="20"/>
                <w:szCs w:val="20"/>
              </w:rPr>
              <w:t xml:space="preserve">Moral reasoning, bioethics, social ethics, applied ethics scenarios</w:t>
            </w:r>
          </w:p>
        </w:tc>
      </w:tr>
      <w:tr>
        <w:tc>
          <w:tcPr>
            <w:tcBorders>
              <w:top w:val="single" w:color="CCCCCC" w:sz="1"/>
              <w:left w:val="single" w:color="CCCCCC" w:sz="1"/>
              <w:bottom w:val="single" w:color="CCCCCC" w:sz="1"/>
              <w:right w:val="single" w:color="CCCCCC" w:sz="1"/>
            </w:tcBorders>
          </w:tcPr>
          <w:p>
            <w:r>
              <w:rPr>
                <w:sz w:val="20"/>
                <w:szCs w:val="20"/>
              </w:rPr>
              <w:t xml:space="preserve">Church History</w:t>
            </w:r>
          </w:p>
        </w:tc>
        <w:tc>
          <w:tcPr>
            <w:tcBorders>
              <w:top w:val="single" w:color="CCCCCC" w:sz="1"/>
              <w:left w:val="single" w:color="CCCCCC" w:sz="1"/>
              <w:bottom w:val="single" w:color="CCCCCC" w:sz="1"/>
              <w:right w:val="single" w:color="CCCCCC" w:sz="1"/>
            </w:tcBorders>
          </w:tcPr>
          <w:p>
            <w:pPr>
              <w:jc w:val="center"/>
            </w:pPr>
            <w:r>
              <w:rPr>
                <w:sz w:val="20"/>
                <w:szCs w:val="20"/>
              </w:rPr>
              <w:t xml:space="preserve">100</w:t>
            </w:r>
          </w:p>
        </w:tc>
        <w:tc>
          <w:tcPr>
            <w:tcBorders>
              <w:top w:val="single" w:color="CCCCCC" w:sz="1"/>
              <w:left w:val="single" w:color="CCCCCC" w:sz="1"/>
              <w:bottom w:val="single" w:color="CCCCCC" w:sz="1"/>
              <w:right w:val="single" w:color="CCCCCC" w:sz="1"/>
            </w:tcBorders>
          </w:tcPr>
          <w:p>
            <w:r>
              <w:rPr>
                <w:sz w:val="20"/>
                <w:szCs w:val="20"/>
              </w:rPr>
              <w:t xml:space="preserve">Historical events, councils, movements, fair representation</w:t>
            </w:r>
          </w:p>
        </w:tc>
      </w:tr>
      <w:tr>
        <w:tc>
          <w:tcPr>
            <w:tcBorders>
              <w:top w:val="single" w:color="CCCCCC" w:sz="1"/>
              <w:left w:val="single" w:color="CCCCCC" w:sz="1"/>
              <w:bottom w:val="single" w:color="CCCCCC" w:sz="1"/>
              <w:right w:val="single" w:color="CCCCCC" w:sz="1"/>
            </w:tcBorders>
          </w:tcPr>
          <w:p>
            <w:r>
              <w:rPr>
                <w:sz w:val="20"/>
                <w:szCs w:val="20"/>
              </w:rPr>
              <w:t xml:space="preserve">Worship &amp; Sacraments</w:t>
            </w:r>
          </w:p>
        </w:tc>
        <w:tc>
          <w:tcPr>
            <w:tcBorders>
              <w:top w:val="single" w:color="CCCCCC" w:sz="1"/>
              <w:left w:val="single" w:color="CCCCCC" w:sz="1"/>
              <w:bottom w:val="single" w:color="CCCCCC" w:sz="1"/>
              <w:right w:val="single" w:color="CCCCCC" w:sz="1"/>
            </w:tcBorders>
          </w:tcPr>
          <w:p>
            <w:pPr>
              <w:jc w:val="center"/>
            </w:pPr>
            <w:r>
              <w:rPr>
                <w:sz w:val="20"/>
                <w:szCs w:val="20"/>
              </w:rPr>
              <w:t xml:space="preserve">100</w:t>
            </w:r>
          </w:p>
        </w:tc>
        <w:tc>
          <w:tcPr>
            <w:tcBorders>
              <w:top w:val="single" w:color="CCCCCC" w:sz="1"/>
              <w:left w:val="single" w:color="CCCCCC" w:sz="1"/>
              <w:bottom w:val="single" w:color="CCCCCC" w:sz="1"/>
              <w:right w:val="single" w:color="CCCCCC" w:sz="1"/>
            </w:tcBorders>
          </w:tcPr>
          <w:p>
            <w:r>
              <w:rPr>
                <w:sz w:val="20"/>
                <w:szCs w:val="20"/>
              </w:rPr>
              <w:t xml:space="preserve">Liturgical theology, sacramental practice, prayer traditions</w:t>
            </w:r>
          </w:p>
        </w:tc>
      </w:tr>
      <w:tr>
        <w:tc>
          <w:tcPr>
            <w:tcBorders>
              <w:top w:val="single" w:color="CCCCCC" w:sz="1"/>
              <w:left w:val="single" w:color="CCCCCC" w:sz="1"/>
              <w:bottom w:val="single" w:color="CCCCCC" w:sz="1"/>
              <w:right w:val="single" w:color="CCCCCC" w:sz="1"/>
            </w:tcBorders>
          </w:tcPr>
          <w:p>
            <w:r>
              <w:rPr>
                <w:sz w:val="20"/>
                <w:szCs w:val="20"/>
              </w:rPr>
              <w:t xml:space="preserve">Apologetics</w:t>
            </w:r>
          </w:p>
        </w:tc>
        <w:tc>
          <w:tcPr>
            <w:tcBorders>
              <w:top w:val="single" w:color="CCCCCC" w:sz="1"/>
              <w:left w:val="single" w:color="CCCCCC" w:sz="1"/>
              <w:bottom w:val="single" w:color="CCCCCC" w:sz="1"/>
              <w:right w:val="single" w:color="CCCCCC" w:sz="1"/>
            </w:tcBorders>
          </w:tcPr>
          <w:p>
            <w:pPr>
              <w:jc w:val="center"/>
            </w:pPr>
            <w:r>
              <w:rPr>
                <w:sz w:val="20"/>
                <w:szCs w:val="20"/>
              </w:rPr>
              <w:t xml:space="preserve">100</w:t>
            </w:r>
          </w:p>
        </w:tc>
        <w:tc>
          <w:tcPr>
            <w:tcBorders>
              <w:top w:val="single" w:color="CCCCCC" w:sz="1"/>
              <w:left w:val="single" w:color="CCCCCC" w:sz="1"/>
              <w:bottom w:val="single" w:color="CCCCCC" w:sz="1"/>
              <w:right w:val="single" w:color="CCCCCC" w:sz="1"/>
            </w:tcBorders>
          </w:tcPr>
          <w:p>
            <w:r>
              <w:rPr>
                <w:sz w:val="20"/>
                <w:szCs w:val="20"/>
              </w:rPr>
              <w:t xml:space="preserve">Philosophical theology, responses to objections, intellectual engagement</w:t>
            </w:r>
          </w:p>
        </w:tc>
      </w:tr>
      <w:tr>
        <w:tc>
          <w:tcPr>
            <w:tcBorders>
              <w:top w:val="single" w:color="CCCCCC" w:sz="1"/>
              <w:left w:val="single" w:color="CCCCCC" w:sz="1"/>
              <w:bottom w:val="single" w:color="CCCCCC" w:sz="1"/>
              <w:right w:val="single" w:color="CCCCCC" w:sz="1"/>
            </w:tcBorders>
          </w:tcPr>
          <w:p>
            <w:r>
              <w:rPr>
                <w:sz w:val="20"/>
                <w:szCs w:val="20"/>
              </w:rPr>
              <w:t xml:space="preserve">Spiritual Formation</w:t>
            </w:r>
          </w:p>
        </w:tc>
        <w:tc>
          <w:tcPr>
            <w:tcBorders>
              <w:top w:val="single" w:color="CCCCCC" w:sz="1"/>
              <w:left w:val="single" w:color="CCCCCC" w:sz="1"/>
              <w:bottom w:val="single" w:color="CCCCCC" w:sz="1"/>
              <w:right w:val="single" w:color="CCCCCC" w:sz="1"/>
            </w:tcBorders>
          </w:tcPr>
          <w:p>
            <w:pPr>
              <w:jc w:val="center"/>
            </w:pPr>
            <w:r>
              <w:rPr>
                <w:sz w:val="20"/>
                <w:szCs w:val="20"/>
              </w:rPr>
              <w:t xml:space="preserve">80</w:t>
            </w:r>
          </w:p>
        </w:tc>
        <w:tc>
          <w:tcPr>
            <w:tcBorders>
              <w:top w:val="single" w:color="CCCCCC" w:sz="1"/>
              <w:left w:val="single" w:color="CCCCCC" w:sz="1"/>
              <w:bottom w:val="single" w:color="CCCCCC" w:sz="1"/>
              <w:right w:val="single" w:color="CCCCCC" w:sz="1"/>
            </w:tcBorders>
          </w:tcPr>
          <w:p>
            <w:r>
              <w:rPr>
                <w:sz w:val="20"/>
                <w:szCs w:val="20"/>
              </w:rPr>
              <w:t xml:space="preserve">Disciplines, contemplative practice, growth in faith</w:t>
            </w:r>
          </w:p>
        </w:tc>
      </w:tr>
      <w:tr>
        <w:tc>
          <w:tcPr>
            <w:tcBorders>
              <w:top w:val="single" w:color="CCCCCC" w:sz="1"/>
              <w:left w:val="single" w:color="CCCCCC" w:sz="1"/>
              <w:bottom w:val="single" w:color="CCCCCC" w:sz="1"/>
              <w:right w:val="single" w:color="CCCCCC" w:sz="1"/>
            </w:tcBorders>
          </w:tcPr>
          <w:p>
            <w:r>
              <w:rPr>
                <w:sz w:val="20"/>
                <w:szCs w:val="20"/>
              </w:rPr>
              <w:t xml:space="preserve">Denominational Awareness</w:t>
            </w:r>
          </w:p>
        </w:tc>
        <w:tc>
          <w:tcPr>
            <w:tcBorders>
              <w:top w:val="single" w:color="CCCCCC" w:sz="1"/>
              <w:left w:val="single" w:color="CCCCCC" w:sz="1"/>
              <w:bottom w:val="single" w:color="CCCCCC" w:sz="1"/>
              <w:right w:val="single" w:color="CCCCCC" w:sz="1"/>
            </w:tcBorders>
          </w:tcPr>
          <w:p>
            <w:pPr>
              <w:jc w:val="center"/>
            </w:pPr>
            <w:r>
              <w:rPr>
                <w:sz w:val="20"/>
                <w:szCs w:val="20"/>
              </w:rPr>
              <w:t xml:space="preserve">70</w:t>
            </w:r>
          </w:p>
        </w:tc>
        <w:tc>
          <w:tcPr>
            <w:tcBorders>
              <w:top w:val="single" w:color="CCCCCC" w:sz="1"/>
              <w:left w:val="single" w:color="CCCCCC" w:sz="1"/>
              <w:bottom w:val="single" w:color="CCCCCC" w:sz="1"/>
              <w:right w:val="single" w:color="CCCCCC" w:sz="1"/>
            </w:tcBorders>
          </w:tcPr>
          <w:p>
            <w:r>
              <w:rPr>
                <w:sz w:val="20"/>
                <w:szCs w:val="20"/>
              </w:rPr>
              <w:t xml:space="preserve">Accurate representation of traditions without stereotyping</w:t>
            </w:r>
          </w:p>
        </w:tc>
      </w:tr>
      <w:tr>
        <w:tc>
          <w:tcPr>
            <w:tcBorders>
              <w:top w:val="single" w:color="CCCCCC" w:sz="1"/>
              <w:left w:val="single" w:color="CCCCCC" w:sz="1"/>
              <w:bottom w:val="single" w:color="CCCCCC" w:sz="1"/>
              <w:right w:val="single" w:color="CCCCCC" w:sz="1"/>
            </w:tcBorders>
          </w:tcPr>
          <w:p>
            <w:r>
              <w:rPr>
                <w:sz w:val="20"/>
                <w:szCs w:val="20"/>
              </w:rPr>
              <w:t xml:space="preserve">Boundary Respect</w:t>
            </w:r>
          </w:p>
        </w:tc>
        <w:tc>
          <w:tcPr>
            <w:tcBorders>
              <w:top w:val="single" w:color="CCCCCC" w:sz="1"/>
              <w:left w:val="single" w:color="CCCCCC" w:sz="1"/>
              <w:bottom w:val="single" w:color="CCCCCC" w:sz="1"/>
              <w:right w:val="single" w:color="CCCCCC" w:sz="1"/>
            </w:tcBorders>
          </w:tcPr>
          <w:p>
            <w:pPr>
              <w:jc w:val="center"/>
            </w:pPr>
            <w:r>
              <w:rPr>
                <w:sz w:val="20"/>
                <w:szCs w:val="20"/>
              </w:rPr>
              <w:t xml:space="preserve">50</w:t>
            </w:r>
          </w:p>
        </w:tc>
        <w:tc>
          <w:tcPr>
            <w:tcBorders>
              <w:top w:val="single" w:color="CCCCCC" w:sz="1"/>
              <w:left w:val="single" w:color="CCCCCC" w:sz="1"/>
              <w:bottom w:val="single" w:color="CCCCCC" w:sz="1"/>
              <w:right w:val="single" w:color="CCCCCC" w:sz="1"/>
            </w:tcBorders>
          </w:tcPr>
          <w:p>
            <w:r>
              <w:rPr>
                <w:sz w:val="20"/>
                <w:szCs w:val="20"/>
              </w:rPr>
              <w:t xml:space="preserve">Recognition of AI limitations, appropriate referrals</w:t>
            </w:r>
          </w:p>
        </w:tc>
      </w:tr>
      <w:tr>
        <w:tc>
          <w:tcPr>
            <w:tcBorders>
              <w:top w:val="single" w:color="CCCCCC" w:sz="1"/>
              <w:left w:val="single" w:color="CCCCCC" w:sz="1"/>
              <w:bottom w:val="single" w:color="CCCCCC" w:sz="1"/>
              <w:right w:val="single" w:color="CCCCCC" w:sz="1"/>
            </w:tcBorders>
            <w:shd w:fill="ecf0f1" w:val="clear"/>
          </w:tcPr>
          <w:p>
            <w:r>
              <w:rPr>
                <w:b/>
                <w:bCs/>
                <w:sz w:val="20"/>
                <w:szCs w:val="20"/>
              </w:rPr>
              <w:t xml:space="preserve">Total</w:t>
            </w:r>
          </w:p>
        </w:tc>
        <w:tc>
          <w:tcPr>
            <w:tcBorders>
              <w:top w:val="single" w:color="CCCCCC" w:sz="1"/>
              <w:left w:val="single" w:color="CCCCCC" w:sz="1"/>
              <w:bottom w:val="single" w:color="CCCCCC" w:sz="1"/>
              <w:right w:val="single" w:color="CCCCCC" w:sz="1"/>
            </w:tcBorders>
            <w:shd w:fill="ecf0f1" w:val="clear"/>
          </w:tcPr>
          <w:p>
            <w:pPr>
              <w:jc w:val="center"/>
            </w:pPr>
            <w:r>
              <w:rPr>
                <w:b/>
                <w:bCs/>
                <w:sz w:val="20"/>
                <w:szCs w:val="20"/>
              </w:rPr>
              <w:t xml:space="preserve">1,150</w:t>
            </w:r>
          </w:p>
        </w:tc>
        <w:tc>
          <w:tcPr>
            <w:tcBorders>
              <w:top w:val="single" w:color="CCCCCC" w:sz="1"/>
              <w:left w:val="single" w:color="CCCCCC" w:sz="1"/>
              <w:bottom w:val="single" w:color="CCCCCC" w:sz="1"/>
              <w:right w:val="single" w:color="CCCCCC" w:sz="1"/>
            </w:tcBorders>
            <w:shd w:fill="ecf0f1" w:val="clear"/>
          </w:tcPr>
          <w:p>
            <w:r>
              <w:rPr>
                <w:sz w:val="20"/>
                <w:szCs w:val="20"/>
              </w:rPr>
              <w:t xml:space="preserve"/>
            </w:r>
          </w:p>
        </w:tc>
      </w:tr>
    </w:tbl>
    <w:p>
      <w:pPr>
        <w:spacing w:before="200"/>
      </w:pPr>
      <w:r>
        <w:rPr>
          <w:i/>
          <w:iCs/>
          <w:sz w:val="20"/>
          <w:szCs w:val="20"/>
        </w:rPr>
        <w:t xml:space="preserve">Table 1: CAB v2.0 Evaluation Dimensions</w:t>
      </w:r>
    </w:p>
    <w:p>
      <w:r>
        <w:br w:type="page"/>
      </w:r>
    </w:p>
    <w:p>
      <w:pPr>
        <w:pStyle w:val="Heading2"/>
      </w:pPr>
      <w:r>
        <w:t xml:space="preserve">3.3 Triple-Modal Scoring Methodology</w:t>
      </w:r>
    </w:p>
    <w:p>
      <w:pPr>
        <w:spacing w:after="200"/>
      </w:pPr>
      <w:r>
        <w:t xml:space="preserve">CAB employs three complementary scoring modes to capture both factual accuracy and pastoral quality:</w:t>
      </w:r>
    </w:p>
    <w:p>
      <w:pPr>
        <w:pStyle w:val="Heading3"/>
      </w:pPr>
      <w:r>
        <w:t xml:space="preserve">3.3.1 Objective Scoring (244 questions, 21%)</w:t>
      </w:r>
    </w:p>
    <w:p>
      <w:pPr>
        <w:spacing w:after="200"/>
      </w:pPr>
      <w:r>
        <w:t xml:space="preserve">Multiple-choice and true/false questions assess factual knowledge of Scripture, doctrine, and history. Answer positions are randomized to prevent pattern exploitation. Scoring is binary (correct/incorrect) with automated verification against answer keys.</w:t>
      </w:r>
    </w:p>
    <w:p>
      <w:pPr>
        <w:pStyle w:val="Heading3"/>
      </w:pPr>
      <w:r>
        <w:t xml:space="preserve">3.3.2 Subjective Scoring (906 questions, 79%)</w:t>
      </w:r>
    </w:p>
    <w:p>
      <w:pPr>
        <w:spacing w:after="200"/>
      </w:pPr>
      <w:r>
        <w:t xml:space="preserve">Complex pastoral scenarios require nuanced responses evaluated by LLM judge panels. Following established practices in LLM-as-judge evaluation (Zheng et al., 2023), we employ three judges from different model providers to mitigate provider-specific biases. Each judge operates with a dimension-specific persona (e.g., "Catholic Moral Theologian," "Evangelical Pastoral Counselor") and evaluates responses on a 1-5 Likert scale against explicit anchor descriptions. The final score is the median of judge ratings, providing robustness to outliers.</w:t>
      </w:r>
    </w:p>
    <w:p>
      <w:pPr>
        <w:spacing w:after="200"/>
      </w:pPr>
      <w:r>
        <w:t xml:space="preserve">Each rubric provides behavioral anchors at each score level. For example, the Pastoral Care dimension anchors include: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800"/>
            <w:tcBorders>
              <w:top w:val="single" w:color="CCCCCC" w:sz="1"/>
              <w:left w:val="single" w:color="CCCCCC" w:sz="1"/>
              <w:bottom w:val="single" w:color="CCCCCC" w:sz="1"/>
              <w:right w:val="single" w:color="CCCCCC" w:sz="1"/>
            </w:tcBorders>
            <w:shd w:fill="27ae60" w:val="clear"/>
          </w:tcPr>
          <w:p>
            <w:pPr>
              <w:jc w:val="center"/>
            </w:pPr>
            <w:r>
              <w:rPr>
                <w:b/>
                <w:bCs/>
                <w:color w:val="FFFFFF"/>
                <w:sz w:val="20"/>
                <w:szCs w:val="20"/>
              </w:rPr>
              <w:t xml:space="preserve">5</w:t>
            </w:r>
          </w:p>
        </w:tc>
        <w:tc>
          <w:tcPr>
            <w:tcBorders>
              <w:top w:val="single" w:color="CCCCCC" w:sz="1"/>
              <w:left w:val="single" w:color="CCCCCC" w:sz="1"/>
              <w:bottom w:val="single" w:color="CCCCCC" w:sz="1"/>
              <w:right w:val="single" w:color="CCCCCC" w:sz="1"/>
            </w:tcBorders>
            <w:shd w:fill="e8f8f5" w:val="clear"/>
          </w:tcPr>
          <w:p>
            <w:r>
              <w:rPr>
                <w:sz w:val="20"/>
                <w:szCs w:val="20"/>
              </w:rPr>
              <w:t xml:space="preserve">Exemplary pastoral sensitivity; validates emotions without dismissing or indulging; theologically grounded comfort; recognizes crisis indicators; appropriate referrals</w:t>
            </w:r>
          </w:p>
        </w:tc>
      </w:tr>
      <w:tr>
        <w:tc>
          <w:tcPr>
            <w:tcBorders>
              <w:top w:val="single" w:color="CCCCCC" w:sz="1"/>
              <w:left w:val="single" w:color="CCCCCC" w:sz="1"/>
              <w:bottom w:val="single" w:color="CCCCCC" w:sz="1"/>
              <w:right w:val="single" w:color="CCCCCC" w:sz="1"/>
            </w:tcBorders>
            <w:shd w:fill="3498db" w:val="clear"/>
          </w:tcPr>
          <w:p>
            <w:pPr>
              <w:jc w:val="center"/>
            </w:pPr>
            <w:r>
              <w:rPr>
                <w:b/>
                <w:bCs/>
                <w:color w:val="FFFFFF"/>
                <w:sz w:val="20"/>
                <w:szCs w:val="20"/>
              </w:rPr>
              <w:t xml:space="preserve">3</w:t>
            </w:r>
          </w:p>
        </w:tc>
        <w:tc>
          <w:tcPr>
            <w:tcBorders>
              <w:top w:val="single" w:color="CCCCCC" w:sz="1"/>
              <w:left w:val="single" w:color="CCCCCC" w:sz="1"/>
              <w:bottom w:val="single" w:color="CCCCCC" w:sz="1"/>
              <w:right w:val="single" w:color="CCCCCC" w:sz="1"/>
            </w:tcBorders>
            <w:shd w:fill="ebf5fb" w:val="clear"/>
          </w:tcPr>
          <w:p>
            <w:r>
              <w:rPr>
                <w:sz w:val="20"/>
                <w:szCs w:val="20"/>
              </w:rPr>
              <w:t xml:space="preserve">Adequate care but may rush to fix rather than sit with pain; theologically correct but pastorally clumsy; or compassionate but theologically thin</w:t>
            </w:r>
          </w:p>
        </w:tc>
      </w:tr>
      <w:tr>
        <w:tc>
          <w:tcPr>
            <w:tcBorders>
              <w:top w:val="single" w:color="CCCCCC" w:sz="1"/>
              <w:left w:val="single" w:color="CCCCCC" w:sz="1"/>
              <w:bottom w:val="single" w:color="CCCCCC" w:sz="1"/>
              <w:right w:val="single" w:color="CCCCCC" w:sz="1"/>
            </w:tcBorders>
            <w:shd w:fill="e74c3c" w:val="clear"/>
          </w:tcPr>
          <w:p>
            <w:pPr>
              <w:jc w:val="center"/>
            </w:pPr>
            <w:r>
              <w:rPr>
                <w:b/>
                <w:bCs/>
                <w:color w:val="FFFFFF"/>
                <w:sz w:val="20"/>
                <w:szCs w:val="20"/>
              </w:rPr>
              <w:t xml:space="preserve">1</w:t>
            </w:r>
          </w:p>
        </w:tc>
        <w:tc>
          <w:tcPr>
            <w:tcBorders>
              <w:top w:val="single" w:color="CCCCCC" w:sz="1"/>
              <w:left w:val="single" w:color="CCCCCC" w:sz="1"/>
              <w:bottom w:val="single" w:color="CCCCCC" w:sz="1"/>
              <w:right w:val="single" w:color="CCCCCC" w:sz="1"/>
            </w:tcBorders>
            <w:shd w:fill="fdedec" w:val="clear"/>
          </w:tcPr>
          <w:p>
            <w:r>
              <w:rPr>
                <w:sz w:val="20"/>
                <w:szCs w:val="20"/>
              </w:rPr>
              <w:t xml:space="preserve">Pastoral malpractice; shames or blames sufferer; dangerous advice; ignores clear crisis signs</w:t>
            </w:r>
          </w:p>
        </w:tc>
      </w:tr>
    </w:tbl>
    <w:p>
      <w:pPr>
        <w:spacing w:before="100" w:after="200"/>
      </w:pPr>
      <w:r>
        <w:rPr>
          <w:i/>
          <w:iCs/>
          <w:sz w:val="20"/>
          <w:szCs w:val="20"/>
        </w:rPr>
        <w:t xml:space="preserve">Table 2: Example Scoring Anchors (Pastoral Care Dimension)</w:t>
      </w:r>
    </w:p>
    <w:p>
      <w:pPr>
        <w:pStyle w:val="Heading3"/>
      </w:pPr>
      <w:r>
        <w:t xml:space="preserve">3.3.3 Tangential/Cross-Dimensional Scoring</w:t>
      </w:r>
    </w:p>
    <w:p>
      <w:pPr>
        <w:spacing w:after="200"/>
      </w:pPr>
      <w:r>
        <w:t xml:space="preserve">Responses may positively or negatively impact dimensions beyond the primary focus. A Systematic Theology question answered with excellent doctrinal accuracy but pastoral insensitivity receives tangential deductions. This captures holistic response quality and prevents optimization for narrow correctness at the expense of broader Christian virtue.</w:t>
      </w:r>
    </w:p>
    <w:p>
      <w:pPr>
        <w:pStyle w:val="Heading2"/>
      </w:pPr>
      <w:r>
        <w:t xml:space="preserve">3.4 Score Aggregation</w:t>
      </w:r>
    </w:p>
    <w:p>
      <w:pPr>
        <w:spacing w:after="200"/>
      </w:pPr>
      <w:r>
        <w:t xml:space="preserve">Dimension scores are calculated as percentage of points earned versus possible. The overall score employs </w:t>
      </w:r>
      <w:r>
        <w:rPr>
          <w:i/>
          <w:iCs/>
        </w:rPr>
        <w:t xml:space="preserve">geometric mean</w:t>
      </w:r>
      <w:r>
        <w:t xml:space="preserve"> aggregation across dimensions rather than arithmetic mean. This methodological choice ensures that models cannot compensate for poor performance in one dimension with excellence in another—a model scoring 95% in Biblical Literacy but 30% in Pastoral Care receives an overall score of 53.4% rather than 62.5%, appropriately flagging the dangerous weakness.</w:t>
      </w:r>
    </w:p>
    <w:p>
      <w:r>
        <w:br w:type="page"/>
      </w:r>
    </w:p>
    <w:p>
      <w:pPr>
        <w:pStyle w:val="Heading1"/>
      </w:pPr>
      <w:r>
        <w:t xml:space="preserve">4. Comparison with Gloo FAI-C</w:t>
      </w:r>
    </w:p>
    <w:p>
      <w:pPr>
        <w:spacing w:after="200"/>
      </w:pPr>
      <w:r>
        <w:t xml:space="preserve">Table 3 summarizes key methodological differences between CAB v2.0 and Gloo's FAI-C benchmark: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CCCCCC" w:sz="1"/>
              <w:left w:val="single" w:color="CCCCCC" w:sz="1"/>
              <w:bottom w:val="single" w:color="CCCCCC" w:sz="1"/>
              <w:right w:val="single" w:color="CCCCCC" w:sz="1"/>
            </w:tcBorders>
            <w:shd w:fill="2c3e50" w:val="clear"/>
          </w:tcPr>
          <w:p>
            <w:r>
              <w:rPr>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2c3e50" w:val="clear"/>
          </w:tcPr>
          <w:p>
            <w:r>
              <w:rPr>
                <w:b/>
                <w:bCs/>
                <w:color w:val="FFFFFF"/>
                <w:sz w:val="20"/>
                <w:szCs w:val="20"/>
              </w:rPr>
              <w:t xml:space="preserve">Gloo FAI-C</w:t>
            </w:r>
          </w:p>
        </w:tc>
        <w:tc>
          <w:tcPr>
            <w:tcW w:type="dxa" w:w="3560"/>
            <w:tcBorders>
              <w:top w:val="single" w:color="CCCCCC" w:sz="1"/>
              <w:left w:val="single" w:color="CCCCCC" w:sz="1"/>
              <w:bottom w:val="single" w:color="CCCCCC" w:sz="1"/>
              <w:right w:val="single" w:color="CCCCCC" w:sz="1"/>
            </w:tcBorders>
            <w:shd w:fill="2c3e50" w:val="clear"/>
          </w:tcPr>
          <w:p>
            <w:r>
              <w:rPr>
                <w:b/>
                <w:bCs/>
                <w:color w:val="FFFFFF"/>
                <w:sz w:val="20"/>
                <w:szCs w:val="20"/>
              </w:rPr>
              <w:t xml:space="preserve">CAB v2.0</w:t>
            </w:r>
          </w:p>
        </w:tc>
      </w:tr>
      <w:tr>
        <w:tc>
          <w:tcPr>
            <w:tcBorders>
              <w:top w:val="single" w:color="CCCCCC" w:sz="1"/>
              <w:left w:val="single" w:color="CCCCCC" w:sz="1"/>
              <w:bottom w:val="single" w:color="CCCCCC" w:sz="1"/>
              <w:right w:val="single" w:color="CCCCCC" w:sz="1"/>
            </w:tcBorders>
          </w:tcPr>
          <w:p>
            <w:r>
              <w:rPr>
                <w:b/>
                <w:bCs/>
                <w:sz w:val="20"/>
                <w:szCs w:val="20"/>
              </w:rPr>
              <w:t xml:space="preserve">Total Questions</w:t>
            </w:r>
          </w:p>
        </w:tc>
        <w:tc>
          <w:tcPr>
            <w:tcBorders>
              <w:top w:val="single" w:color="CCCCCC" w:sz="1"/>
              <w:left w:val="single" w:color="CCCCCC" w:sz="1"/>
              <w:bottom w:val="single" w:color="CCCCCC" w:sz="1"/>
              <w:right w:val="single" w:color="CCCCCC" w:sz="1"/>
            </w:tcBorders>
          </w:tcPr>
          <w:p>
            <w:r>
              <w:rPr>
                <w:sz w:val="20"/>
                <w:szCs w:val="20"/>
              </w:rPr>
              <w:t xml:space="preserve">807</w:t>
            </w:r>
          </w:p>
        </w:tc>
        <w:tc>
          <w:tcPr>
            <w:tcBorders>
              <w:top w:val="single" w:color="CCCCCC" w:sz="1"/>
              <w:left w:val="single" w:color="CCCCCC" w:sz="1"/>
              <w:bottom w:val="single" w:color="CCCCCC" w:sz="1"/>
              <w:right w:val="single" w:color="CCCCCC" w:sz="1"/>
            </w:tcBorders>
            <w:shd w:fill="e8f8f5" w:val="clear"/>
          </w:tcPr>
          <w:p>
            <w:r>
              <w:rPr>
                <w:sz w:val="20"/>
                <w:szCs w:val="20"/>
              </w:rPr>
              <w:t xml:space="preserve">1,150 (+43%)</w:t>
            </w:r>
          </w:p>
        </w:tc>
      </w:tr>
      <w:tr>
        <w:tc>
          <w:tcPr>
            <w:tcBorders>
              <w:top w:val="single" w:color="CCCCCC" w:sz="1"/>
              <w:left w:val="single" w:color="CCCCCC" w:sz="1"/>
              <w:bottom w:val="single" w:color="CCCCCC" w:sz="1"/>
              <w:right w:val="single" w:color="CCCCCC" w:sz="1"/>
            </w:tcBorders>
          </w:tcPr>
          <w:p>
            <w:r>
              <w:rPr>
                <w:b/>
                <w:bCs/>
                <w:sz w:val="20"/>
                <w:szCs w:val="20"/>
              </w:rPr>
              <w:t xml:space="preserve">Evaluation Dimensions</w:t>
            </w:r>
          </w:p>
        </w:tc>
        <w:tc>
          <w:tcPr>
            <w:tcBorders>
              <w:top w:val="single" w:color="CCCCCC" w:sz="1"/>
              <w:left w:val="single" w:color="CCCCCC" w:sz="1"/>
              <w:bottom w:val="single" w:color="CCCCCC" w:sz="1"/>
              <w:right w:val="single" w:color="CCCCCC" w:sz="1"/>
            </w:tcBorders>
          </w:tcPr>
          <w:p>
            <w:r>
              <w:rPr>
                <w:sz w:val="20"/>
                <w:szCs w:val="20"/>
              </w:rPr>
              <w:t xml:space="preserve">7 (flourishing-based)</w:t>
            </w:r>
          </w:p>
        </w:tc>
        <w:tc>
          <w:tcPr>
            <w:tcBorders>
              <w:top w:val="single" w:color="CCCCCC" w:sz="1"/>
              <w:left w:val="single" w:color="CCCCCC" w:sz="1"/>
              <w:bottom w:val="single" w:color="CCCCCC" w:sz="1"/>
              <w:right w:val="single" w:color="CCCCCC" w:sz="1"/>
            </w:tcBorders>
            <w:shd w:fill="e8f8f5" w:val="clear"/>
          </w:tcPr>
          <w:p>
            <w:r>
              <w:rPr>
                <w:sz w:val="20"/>
                <w:szCs w:val="20"/>
              </w:rPr>
              <w:t xml:space="preserve">10 (theology-based)</w:t>
            </w:r>
          </w:p>
        </w:tc>
      </w:tr>
      <w:tr>
        <w:tc>
          <w:tcPr>
            <w:tcBorders>
              <w:top w:val="single" w:color="CCCCCC" w:sz="1"/>
              <w:left w:val="single" w:color="CCCCCC" w:sz="1"/>
              <w:bottom w:val="single" w:color="CCCCCC" w:sz="1"/>
              <w:right w:val="single" w:color="CCCCCC" w:sz="1"/>
            </w:tcBorders>
          </w:tcPr>
          <w:p>
            <w:r>
              <w:rPr>
                <w:b/>
                <w:bCs/>
                <w:sz w:val="20"/>
                <w:szCs w:val="20"/>
              </w:rPr>
              <w:t xml:space="preserve">Question Transparency</w:t>
            </w:r>
          </w:p>
        </w:tc>
        <w:tc>
          <w:tcPr>
            <w:tcBorders>
              <w:top w:val="single" w:color="CCCCCC" w:sz="1"/>
              <w:left w:val="single" w:color="CCCCCC" w:sz="1"/>
              <w:bottom w:val="single" w:color="CCCCCC" w:sz="1"/>
              <w:right w:val="single" w:color="CCCCCC" w:sz="1"/>
            </w:tcBorders>
          </w:tcPr>
          <w:p>
            <w:r>
              <w:rPr>
                <w:sz w:val="20"/>
                <w:szCs w:val="20"/>
              </w:rPr>
              <w:t xml:space="preserve">Closed/proprietary</w:t>
            </w:r>
          </w:p>
        </w:tc>
        <w:tc>
          <w:tcPr>
            <w:tcBorders>
              <w:top w:val="single" w:color="CCCCCC" w:sz="1"/>
              <w:left w:val="single" w:color="CCCCCC" w:sz="1"/>
              <w:bottom w:val="single" w:color="CCCCCC" w:sz="1"/>
              <w:right w:val="single" w:color="CCCCCC" w:sz="1"/>
            </w:tcBorders>
            <w:shd w:fill="e8f8f5" w:val="clear"/>
          </w:tcPr>
          <w:p>
            <w:r>
              <w:rPr>
                <w:sz w:val="20"/>
                <w:szCs w:val="20"/>
              </w:rPr>
              <w:t xml:space="preserve">Fully open (CC BY-SA 4.0)</w:t>
            </w:r>
          </w:p>
        </w:tc>
      </w:tr>
      <w:tr>
        <w:tc>
          <w:tcPr>
            <w:tcBorders>
              <w:top w:val="single" w:color="CCCCCC" w:sz="1"/>
              <w:left w:val="single" w:color="CCCCCC" w:sz="1"/>
              <w:bottom w:val="single" w:color="CCCCCC" w:sz="1"/>
              <w:right w:val="single" w:color="CCCCCC" w:sz="1"/>
            </w:tcBorders>
          </w:tcPr>
          <w:p>
            <w:r>
              <w:rPr>
                <w:b/>
                <w:bCs/>
                <w:sz w:val="20"/>
                <w:szCs w:val="20"/>
              </w:rPr>
              <w:t xml:space="preserve">Rubric Detail</w:t>
            </w:r>
          </w:p>
        </w:tc>
        <w:tc>
          <w:tcPr>
            <w:tcBorders>
              <w:top w:val="single" w:color="CCCCCC" w:sz="1"/>
              <w:left w:val="single" w:color="CCCCCC" w:sz="1"/>
              <w:bottom w:val="single" w:color="CCCCCC" w:sz="1"/>
              <w:right w:val="single" w:color="CCCCCC" w:sz="1"/>
            </w:tcBorders>
          </w:tcPr>
          <w:p>
            <w:r>
              <w:rPr>
                <w:sz w:val="20"/>
                <w:szCs w:val="20"/>
              </w:rPr>
              <w:t xml:space="preserve">Example-driven</w:t>
            </w:r>
          </w:p>
        </w:tc>
        <w:tc>
          <w:tcPr>
            <w:tcBorders>
              <w:top w:val="single" w:color="CCCCCC" w:sz="1"/>
              <w:left w:val="single" w:color="CCCCCC" w:sz="1"/>
              <w:bottom w:val="single" w:color="CCCCCC" w:sz="1"/>
              <w:right w:val="single" w:color="CCCCCC" w:sz="1"/>
            </w:tcBorders>
            <w:shd w:fill="e8f8f5" w:val="clear"/>
          </w:tcPr>
          <w:p>
            <w:r>
              <w:rPr>
                <w:sz w:val="20"/>
                <w:szCs w:val="20"/>
              </w:rPr>
              <w:t xml:space="preserve">5-level behavioral anchors</w:t>
            </w:r>
          </w:p>
        </w:tc>
      </w:tr>
      <w:tr>
        <w:tc>
          <w:tcPr>
            <w:tcBorders>
              <w:top w:val="single" w:color="CCCCCC" w:sz="1"/>
              <w:left w:val="single" w:color="CCCCCC" w:sz="1"/>
              <w:bottom w:val="single" w:color="CCCCCC" w:sz="1"/>
              <w:right w:val="single" w:color="CCCCCC" w:sz="1"/>
            </w:tcBorders>
          </w:tcPr>
          <w:p>
            <w:r>
              <w:rPr>
                <w:b/>
                <w:bCs/>
                <w:sz w:val="20"/>
                <w:szCs w:val="20"/>
              </w:rPr>
              <w:t xml:space="preserve">Answer Randomization</w:t>
            </w:r>
          </w:p>
        </w:tc>
        <w:tc>
          <w:tcPr>
            <w:tcBorders>
              <w:top w:val="single" w:color="CCCCCC" w:sz="1"/>
              <w:left w:val="single" w:color="CCCCCC" w:sz="1"/>
              <w:bottom w:val="single" w:color="CCCCCC" w:sz="1"/>
              <w:right w:val="single" w:color="CCCCCC" w:sz="1"/>
            </w:tcBorders>
          </w:tcPr>
          <w:p>
            <w:r>
              <w:rPr>
                <w:sz w:val="20"/>
                <w:szCs w:val="20"/>
              </w:rPr>
              <w:t xml:space="preserve">Not documented</w:t>
            </w:r>
          </w:p>
        </w:tc>
        <w:tc>
          <w:tcPr>
            <w:tcBorders>
              <w:top w:val="single" w:color="CCCCCC" w:sz="1"/>
              <w:left w:val="single" w:color="CCCCCC" w:sz="1"/>
              <w:bottom w:val="single" w:color="CCCCCC" w:sz="1"/>
              <w:right w:val="single" w:color="CCCCCC" w:sz="1"/>
            </w:tcBorders>
            <w:shd w:fill="e8f8f5" w:val="clear"/>
          </w:tcPr>
          <w:p>
            <w:r>
              <w:rPr>
                <w:sz w:val="20"/>
                <w:szCs w:val="20"/>
              </w:rPr>
              <w:t xml:space="preserve">All MC randomized</w:t>
            </w:r>
          </w:p>
        </w:tc>
      </w:tr>
      <w:tr>
        <w:tc>
          <w:tcPr>
            <w:tcBorders>
              <w:top w:val="single" w:color="CCCCCC" w:sz="1"/>
              <w:left w:val="single" w:color="CCCCCC" w:sz="1"/>
              <w:bottom w:val="single" w:color="CCCCCC" w:sz="1"/>
              <w:right w:val="single" w:color="CCCCCC" w:sz="1"/>
            </w:tcBorders>
          </w:tcPr>
          <w:p>
            <w:r>
              <w:rPr>
                <w:b/>
                <w:bCs/>
                <w:sz w:val="20"/>
                <w:szCs w:val="20"/>
              </w:rPr>
              <w:t xml:space="preserve">Human Validation</w:t>
            </w:r>
          </w:p>
        </w:tc>
        <w:tc>
          <w:tcPr>
            <w:tcBorders>
              <w:top w:val="single" w:color="CCCCCC" w:sz="1"/>
              <w:left w:val="single" w:color="CCCCCC" w:sz="1"/>
              <w:bottom w:val="single" w:color="CCCCCC" w:sz="1"/>
              <w:right w:val="single" w:color="CCCCCC" w:sz="1"/>
            </w:tcBorders>
          </w:tcPr>
          <w:p>
            <w:r>
              <w:rPr>
                <w:sz w:val="20"/>
                <w:szCs w:val="20"/>
              </w:rPr>
              <w:t xml:space="preserve">LLM judges only</w:t>
            </w:r>
          </w:p>
        </w:tc>
        <w:tc>
          <w:tcPr>
            <w:tcBorders>
              <w:top w:val="single" w:color="CCCCCC" w:sz="1"/>
              <w:left w:val="single" w:color="CCCCCC" w:sz="1"/>
              <w:bottom w:val="single" w:color="CCCCCC" w:sz="1"/>
              <w:right w:val="single" w:color="CCCCCC" w:sz="1"/>
            </w:tcBorders>
            <w:shd w:fill="e8f8f5" w:val="clear"/>
          </w:tcPr>
          <w:p>
            <w:r>
              <w:rPr>
                <w:sz w:val="20"/>
                <w:szCs w:val="20"/>
              </w:rPr>
              <w:t xml:space="preserve">LLM + 30% human expert</w:t>
            </w:r>
          </w:p>
        </w:tc>
      </w:tr>
      <w:tr>
        <w:tc>
          <w:tcPr>
            <w:tcBorders>
              <w:top w:val="single" w:color="CCCCCC" w:sz="1"/>
              <w:left w:val="single" w:color="CCCCCC" w:sz="1"/>
              <w:bottom w:val="single" w:color="CCCCCC" w:sz="1"/>
              <w:right w:val="single" w:color="CCCCCC" w:sz="1"/>
            </w:tcBorders>
          </w:tcPr>
          <w:p>
            <w:r>
              <w:rPr>
                <w:b/>
                <w:bCs/>
                <w:sz w:val="20"/>
                <w:szCs w:val="20"/>
              </w:rPr>
              <w:t xml:space="preserve">Denominational Scope</w:t>
            </w:r>
          </w:p>
        </w:tc>
        <w:tc>
          <w:tcPr>
            <w:tcBorders>
              <w:top w:val="single" w:color="CCCCCC" w:sz="1"/>
              <w:left w:val="single" w:color="CCCCCC" w:sz="1"/>
              <w:bottom w:val="single" w:color="CCCCCC" w:sz="1"/>
              <w:right w:val="single" w:color="CCCCCC" w:sz="1"/>
            </w:tcBorders>
          </w:tcPr>
          <w:p>
            <w:r>
              <w:rPr>
                <w:sz w:val="20"/>
                <w:szCs w:val="20"/>
              </w:rPr>
              <w:t xml:space="preserve">Undifferentiated</w:t>
            </w:r>
          </w:p>
        </w:tc>
        <w:tc>
          <w:tcPr>
            <w:tcBorders>
              <w:top w:val="single" w:color="CCCCCC" w:sz="1"/>
              <w:left w:val="single" w:color="CCCCCC" w:sz="1"/>
              <w:bottom w:val="single" w:color="CCCCCC" w:sz="1"/>
              <w:right w:val="single" w:color="CCCCCC" w:sz="1"/>
            </w:tcBorders>
            <w:shd w:fill="e8f8f5" w:val="clear"/>
          </w:tcPr>
          <w:p>
            <w:r>
              <w:rPr>
                <w:sz w:val="20"/>
                <w:szCs w:val="20"/>
              </w:rPr>
              <w:t xml:space="preserve">10 distinct traditions</w:t>
            </w:r>
          </w:p>
        </w:tc>
      </w:tr>
      <w:tr>
        <w:tc>
          <w:tcPr>
            <w:tcBorders>
              <w:top w:val="single" w:color="CCCCCC" w:sz="1"/>
              <w:left w:val="single" w:color="CCCCCC" w:sz="1"/>
              <w:bottom w:val="single" w:color="CCCCCC" w:sz="1"/>
              <w:right w:val="single" w:color="CCCCCC" w:sz="1"/>
            </w:tcBorders>
          </w:tcPr>
          <w:p>
            <w:r>
              <w:rPr>
                <w:b/>
                <w:bCs/>
                <w:sz w:val="20"/>
                <w:szCs w:val="20"/>
              </w:rPr>
              <w:t xml:space="preserve">Conflict of Interest</w:t>
            </w:r>
          </w:p>
        </w:tc>
        <w:tc>
          <w:tcPr>
            <w:tcBorders>
              <w:top w:val="single" w:color="CCCCCC" w:sz="1"/>
              <w:left w:val="single" w:color="CCCCCC" w:sz="1"/>
              <w:bottom w:val="single" w:color="CCCCCC" w:sz="1"/>
              <w:right w:val="single" w:color="CCCCCC" w:sz="1"/>
            </w:tcBorders>
          </w:tcPr>
          <w:p>
            <w:r>
              <w:rPr>
                <w:sz w:val="20"/>
                <w:szCs w:val="20"/>
              </w:rPr>
              <w:t xml:space="preserve">Yes (vendor-developed)</w:t>
            </w:r>
          </w:p>
        </w:tc>
        <w:tc>
          <w:tcPr>
            <w:tcBorders>
              <w:top w:val="single" w:color="CCCCCC" w:sz="1"/>
              <w:left w:val="single" w:color="CCCCCC" w:sz="1"/>
              <w:bottom w:val="single" w:color="CCCCCC" w:sz="1"/>
              <w:right w:val="single" w:color="CCCCCC" w:sz="1"/>
            </w:tcBorders>
            <w:shd w:fill="e8f8f5" w:val="clear"/>
          </w:tcPr>
          <w:p>
            <w:r>
              <w:rPr>
                <w:sz w:val="20"/>
                <w:szCs w:val="20"/>
              </w:rPr>
              <w:t xml:space="preserve">None (independent)</w:t>
            </w:r>
          </w:p>
        </w:tc>
      </w:tr>
      <w:tr>
        <w:tc>
          <w:tcPr>
            <w:tcBorders>
              <w:top w:val="single" w:color="CCCCCC" w:sz="1"/>
              <w:left w:val="single" w:color="CCCCCC" w:sz="1"/>
              <w:bottom w:val="single" w:color="CCCCCC" w:sz="1"/>
              <w:right w:val="single" w:color="CCCCCC" w:sz="1"/>
            </w:tcBorders>
          </w:tcPr>
          <w:p>
            <w:r>
              <w:rPr>
                <w:b/>
                <w:bCs/>
                <w:sz w:val="20"/>
                <w:szCs w:val="20"/>
              </w:rPr>
              <w:t xml:space="preserve">Anti-Contamination</w:t>
            </w:r>
          </w:p>
        </w:tc>
        <w:tc>
          <w:tcPr>
            <w:tcBorders>
              <w:top w:val="single" w:color="CCCCCC" w:sz="1"/>
              <w:left w:val="single" w:color="CCCCCC" w:sz="1"/>
              <w:bottom w:val="single" w:color="CCCCCC" w:sz="1"/>
              <w:right w:val="single" w:color="CCCCCC" w:sz="1"/>
            </w:tcBorders>
          </w:tcPr>
          <w:p>
            <w:r>
              <w:rPr>
                <w:sz w:val="20"/>
                <w:szCs w:val="20"/>
              </w:rPr>
              <w:t xml:space="preserve">Not documented</w:t>
            </w:r>
          </w:p>
        </w:tc>
        <w:tc>
          <w:tcPr>
            <w:tcBorders>
              <w:top w:val="single" w:color="CCCCCC" w:sz="1"/>
              <w:left w:val="single" w:color="CCCCCC" w:sz="1"/>
              <w:bottom w:val="single" w:color="CCCCCC" w:sz="1"/>
              <w:right w:val="single" w:color="CCCCCC" w:sz="1"/>
            </w:tcBorders>
            <w:shd w:fill="e8f8f5" w:val="clear"/>
          </w:tcPr>
          <w:p>
            <w:r>
              <w:rPr>
                <w:sz w:val="20"/>
                <w:szCs w:val="20"/>
              </w:rPr>
              <w:t xml:space="preserve">Rotation + canary questions</w:t>
            </w:r>
          </w:p>
        </w:tc>
      </w:tr>
    </w:tbl>
    <w:p>
      <w:pPr>
        <w:spacing w:before="100" w:after="300"/>
      </w:pPr>
      <w:r>
        <w:rPr>
          <w:i/>
          <w:iCs/>
          <w:sz w:val="20"/>
          <w:szCs w:val="20"/>
        </w:rPr>
        <w:t xml:space="preserve">Table 3: Methodological Comparison</w:t>
      </w:r>
    </w:p>
    <w:p>
      <w:pPr>
        <w:pStyle w:val="Heading1"/>
      </w:pPr>
      <w:r>
        <w:t xml:space="preserve">5. Anti-Contamination Measures</w:t>
      </w:r>
    </w:p>
    <w:p>
      <w:pPr>
        <w:spacing w:after="200"/>
      </w:pPr>
      <w:r>
        <w:t xml:space="preserve">As LLM training data increasingly incorporates web content, benchmark contamination poses significant validity threats (Sainz et al., 2023). CAB implements multiple safeguards: (1) </w:t>
      </w:r>
      <w:r>
        <w:rPr>
          <w:b/>
          <w:bCs/>
        </w:rPr>
        <w:t xml:space="preserve">Answer randomization</w:t>
      </w:r>
      <w:r>
        <w:t xml:space="preserve">—all multiple-choice options are shuffled with tracked correct positions, preventing models from learning answer patterns; (2) </w:t>
      </w:r>
      <w:r>
        <w:rPr>
          <w:b/>
          <w:bCs/>
        </w:rPr>
        <w:t xml:space="preserve">Question rotation</w:t>
      </w:r>
      <w:r>
        <w:t xml:space="preserve">—200 questions rotate quarterly from a 3,000+ reserve pool; (3) </w:t>
      </w:r>
      <w:r>
        <w:rPr>
          <w:b/>
          <w:bCs/>
        </w:rPr>
        <w:t xml:space="preserve">Canary questions</w:t>
      </w:r>
      <w:r>
        <w:t xml:space="preserve">—150 never-released questions detect memorization through performance gap analysis; (4) </w:t>
      </w:r>
      <w:r>
        <w:rPr>
          <w:b/>
          <w:bCs/>
        </w:rPr>
        <w:t xml:space="preserve">N-gram detection</w:t>
      </w:r>
      <w:r>
        <w:t xml:space="preserve">—flags verbatim reproduction of rubric language suggesting training contamination.</w:t>
      </w:r>
    </w:p>
    <w:p>
      <w:pPr>
        <w:pStyle w:val="Heading1"/>
      </w:pPr>
      <w:r>
        <w:t xml:space="preserve">6. Limitations and Future Work</w:t>
      </w:r>
    </w:p>
    <w:p>
      <w:pPr>
        <w:spacing w:after="200"/>
      </w:pPr>
      <w:r>
        <w:t xml:space="preserve">Several limitations warrant acknowledgment. First, despite efforts at denominational balance, question development inevitably reflects author perspectives; future versions should incorporate broader expert review. Second, LLM-as-judge evaluation, while established in the literature, introduces potential biases that human validation can only partially address. Third, the benchmark's English-language focus limits cross-cultural applicability. Fourth, rapidly evolving AI capabilities may require more frequent benchmark updates than the planned quarterly rotation.</w:t>
      </w:r>
    </w:p>
    <w:p>
      <w:pPr>
        <w:spacing w:after="200"/>
      </w:pPr>
      <w:r>
        <w:t xml:space="preserve">Future work includes: expanded multilingual support; collaboration with seminary faculty for question validation; longitudinal tracking of model performance over time; and investigation of fine-tuning approaches for improving faith-aligned AI systems.</w:t>
      </w:r>
    </w:p>
    <w:p>
      <w:pPr>
        <w:pStyle w:val="Heading1"/>
      </w:pPr>
      <w:r>
        <w:t xml:space="preserve">7. Conclusion</w:t>
      </w:r>
    </w:p>
    <w:p>
      <w:pPr>
        <w:spacing w:after="200"/>
      </w:pPr>
      <w:r>
        <w:t xml:space="preserve">The Christian AI Benchmark (CAB) v2.0 provides the most comprehensive, transparent, and methodologically rigorous framework available for evaluating AI systems on Christian faith. By addressing critical gaps in existing benchmarks—particularly the Gloo FAI-C's lack of transparency and potential conflicts of interest—CAB establishes a trusted standard for church leaders, developers, and researchers assessing AI deployment in ministry contexts.</w:t>
      </w:r>
    </w:p>
    <w:p>
      <w:pPr>
        <w:spacing w:after="200"/>
      </w:pPr>
      <w:r>
        <w:t xml:space="preserve">We release CAB under CC BY-SA 4.0 license, inviting the broader community to contribute question improvements, translation efforts, and validation studies. The benchmark, runner code, and documentation are available at SoliDeoGloria.ai.</w:t>
      </w:r>
    </w:p>
    <w:p>
      <w:pPr>
        <w:spacing w:after="200"/>
      </w:pPr>
      <w:r>
        <w:rPr>
          <w:i/>
          <w:iCs/>
        </w:rPr>
        <w:t xml:space="preserve">Soli Deo Gloria</w:t>
      </w:r>
      <w:r>
        <w:t xml:space="preserve">—to God alone be the glory.</w:t>
      </w:r>
    </w:p>
    <w:p>
      <w:r>
        <w:br w:type="page"/>
      </w:r>
    </w:p>
    <w:p>
      <w:pPr>
        <w:pStyle w:val="Heading1"/>
      </w:pPr>
      <w:r>
        <w:t xml:space="preserve">References</w:t>
      </w:r>
    </w:p>
    <w:p>
      <w:pPr>
        <w:spacing w:after="100"/>
      </w:pPr>
      <w:r>
        <w:rPr>
          <w:sz w:val="22"/>
          <w:szCs w:val="22"/>
        </w:rPr>
        <w:t xml:space="preserve">Bai, Y., et al. (2022). Constitutional AI: Harmlessness from AI Feedback. arXiv:2212.08073.</w:t>
      </w:r>
    </w:p>
    <w:p>
      <w:pPr>
        <w:spacing w:after="100"/>
      </w:pPr>
      <w:r>
        <w:rPr>
          <w:sz w:val="22"/>
          <w:szCs w:val="22"/>
        </w:rPr>
        <w:t xml:space="preserve">Hendrycks, D., et al. (2020). Measuring Massive Multitask Language Understanding. arXiv:2009.03300.</w:t>
      </w:r>
    </w:p>
    <w:p>
      <w:pPr>
        <w:spacing w:after="100"/>
      </w:pPr>
      <w:r>
        <w:rPr>
          <w:sz w:val="22"/>
          <w:szCs w:val="22"/>
        </w:rPr>
        <w:t xml:space="preserve">Hilliard, E., et al. (2025). Measuring AI Alignment with Human Flourishing. arXiv:2507.07787.</w:t>
      </w:r>
    </w:p>
    <w:p>
      <w:pPr>
        <w:spacing w:after="100"/>
      </w:pPr>
      <w:r>
        <w:rPr>
          <w:sz w:val="22"/>
          <w:szCs w:val="22"/>
        </w:rPr>
        <w:t xml:space="preserve">Lin, S., Hilton, J., &amp; Evans, O. (2022). TruthfulQA: Measuring How Models Mimic Human Falsehoods. ACL 2022.</w:t>
      </w:r>
    </w:p>
    <w:p>
      <w:pPr>
        <w:spacing w:after="100"/>
      </w:pPr>
      <w:r>
        <w:rPr>
          <w:sz w:val="22"/>
          <w:szCs w:val="22"/>
        </w:rPr>
        <w:t xml:space="preserve">Sainz, O., et al. (2023). NLP Evaluation in Trouble: On the Need to Measure LLM Data Contamination for each Benchmark. arXiv:2310.18018.</w:t>
      </w:r>
    </w:p>
    <w:p>
      <w:pPr>
        <w:spacing w:after="100"/>
      </w:pPr>
      <w:r>
        <w:rPr>
          <w:sz w:val="22"/>
          <w:szCs w:val="22"/>
        </w:rPr>
        <w:t xml:space="preserve">VanderWeele, T.J. (2017). On the Promotion of Human Flourishing. PNAS, 114(31), 8148-8156.</w:t>
      </w:r>
    </w:p>
    <w:p>
      <w:pPr>
        <w:spacing w:after="100"/>
      </w:pPr>
      <w:r>
        <w:rPr>
          <w:sz w:val="22"/>
          <w:szCs w:val="22"/>
        </w:rPr>
        <w:t xml:space="preserve">Zellers, R., et al. (2019). HellaSwag: Can a Machine Really Finish Your Sentence? ACL 2019.</w:t>
      </w:r>
    </w:p>
    <w:p>
      <w:pPr>
        <w:spacing w:after="100"/>
      </w:pPr>
      <w:r>
        <w:rPr>
          <w:sz w:val="22"/>
          <w:szCs w:val="22"/>
        </w:rPr>
        <w:t xml:space="preserve">Zheng, L., et al. (2023). Judging LLM-as-a-Judge with MT-Bench and Chatbot Arena. arXiv:2306.05685.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Christian AI Benchmark (CAB)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12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before="360" w:after="12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00"/>
    </w:pPr>
    <w:rPr>
      <w:rFonts w:ascii="Times New Roman" w:cs="Times New Roman" w:eastAsia="Times New Roman" w:hAnsi="Times New Roman"/>
      <w:b/>
      <w:bCs/>
      <w:sz w:val="26"/>
      <w:szCs w:val="26"/>
    </w:rPr>
  </w:style>
  <w:style w:type="paragraph" w:styleId="Heading3">
    <w:name w:val="Heading 3"/>
    <w:basedOn w:val="Normal"/>
    <w:next w:val="Normal"/>
    <w:qFormat/>
    <w:pPr>
      <w:spacing w:before="200" w:after="80"/>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2026-01-30T23:52:43.085Z</dcterms:created>
  <dcterms:modified xsi:type="dcterms:W3CDTF">2026-01-30T23:52:43.086Z</dcterms:modified>
</cp:coreProperties>
</file>

<file path=docProps/custom.xml><?xml version="1.0" encoding="utf-8"?>
<Properties xmlns="http://schemas.openxmlformats.org/officeDocument/2006/custom-properties" xmlns:vt="http://schemas.openxmlformats.org/officeDocument/2006/docPropsVTypes"/>
</file>