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Loom and the Forge</w:t>
      </w:r>
    </w:p>
    <w:p>
      <w:pPr>
        <w:spacing w:after="400"/>
        <w:jc w:val="center"/>
      </w:pPr>
      <w:r>
        <w:rPr>
          <w:i/>
          <w:iCs/>
        </w:rPr>
        <w:t xml:space="preserve">A Structural Reinterpretation of the Dao De Jing as a Technical Manual for Recursive Systems</w:t>
      </w:r>
    </w:p>
    <w:p>
      <w:pPr>
        <w:pStyle w:val="Heading1"/>
      </w:pPr>
      <w:r>
        <w:t xml:space="preserve">Abstract</w:t>
      </w:r>
    </w:p>
    <w:p>
      <w:pPr>
        <w:spacing w:after="200"/>
      </w:pPr>
      <w:r>
        <w:t xml:space="preserve">This paper presents a structural reinterpretation of the </w:t>
      </w:r>
      <w:r>
        <w:rPr>
          <w:i/>
          <w:iCs/>
        </w:rPr>
        <w:t xml:space="preserve">Dao De Jing</w:t>
      </w:r>
      <w:r>
        <w:t xml:space="preserve">, proposing that it is not a work of mystical philosophy but a precise technical manual documenting the geometry of recursive, self-organizing systems. Departing from traditional readings that emphasize the text's ineffable and poetic nature, this analysis employs a structural-linguistic methodology grounded in the technological context of ancient China. Traditional readings failed not from a lack of wisdom, but from the use of an inappropriate analytical toolkit. Our methodology treats Chinese characters as operational diagrams and interprets their meaning through the lens of physical processes like metallurgy and weaving.</w:t>
      </w:r>
    </w:p>
    <w:p>
      <w:pPr>
        <w:spacing w:after="200"/>
      </w:pPr>
      <w:r>
        <w:t xml:space="preserve">Key evidence is drawn from a systematic analysis of the text's predictive "substrate grammar," where radicals encode materials (e.g., 禾 for grain) and operators (e.g., 刂 for a blade). The paper deconstructs Chapter 1 not as a metaphysical overture, but as a guide to a multi-axial coordinate system for observing reality. This framework is then validated against ancient technologies, demonstrating that principles such as the 剛/柔 (rigid/flexible) gradient in Chapter 76 are direct documentation of differential hardening in bronze metallurgy—specifically the bimetallic sword-casting techniques developed by the Wu and Yue states during the Spring and Autumn period.</w:t>
      </w:r>
    </w:p>
    <w:p>
      <w:pPr>
        <w:spacing w:after="200"/>
      </w:pPr>
      <w:r>
        <w:t xml:space="preserve">A critical finding emerges from the analysis of Chapter 25: the character 反 (fǎn) does not encode "return" or cyclical oscillation, but structural polarity—the co-emergence of opposition that occurs when any distinction is made in an infinite field. This polarity principle, validated by the Guodian bamboo manuscripts (~300 BCE), finds precise parallel in Euler's Identity and describes how stable structures emerge through the mutual arising of opposites. The paper concludes that the </w:t>
      </w:r>
      <w:r>
        <w:rPr>
          <w:i/>
          <w:iCs/>
        </w:rPr>
        <w:t xml:space="preserve">Dao De Jing</w:t>
      </w:r>
      <w:r>
        <w:t xml:space="preserve"> is an engineering manual for the fundamental patterns of reality.</w:t>
      </w:r>
    </w:p>
    <w:p>
      <w:pPr>
        <w:pStyle w:val="Heading1"/>
      </w:pPr>
      <w:r>
        <w:t xml:space="preserve">1. Introduction: From Mystical Text to Engineering Manual</w:t>
      </w:r>
    </w:p>
    <w:p>
      <w:pPr>
        <w:spacing w:after="200"/>
      </w:pPr>
      <w:r>
        <w:t xml:space="preserve">For over two millennia, the </w:t>
      </w:r>
      <w:r>
        <w:rPr>
          <w:i/>
          <w:iCs/>
        </w:rPr>
        <w:t xml:space="preserve">Dao De Jing</w:t>
      </w:r>
      <w:r>
        <w:t xml:space="preserve"> has been regarded as a foundational text of mystical philosophy, its verses celebrated for their poetic depth and ineffable wisdom. Traditional scholarship has approached the text through a philosophical lens, interpreting lines like "The Tao that can be told is not the eternal Tao" as pronouncements on the limits of language and the transcendent nature of reality. This reading has cemented the text's reputation as a work of profound but ultimately elusive spiritual guidance. Traditional interpretations failed not from a lack of wisdom, but from the application of an inappropriate analytical toolkit, attempting to decode an engineering specification with the tools of literary criticism and metaphysics.</w:t>
      </w:r>
    </w:p>
    <w:p>
      <w:pPr>
        <w:spacing w:after="200"/>
      </w:pPr>
      <w:r>
        <w:t xml:space="preserve">This paper challenges that long-standing interpretation. We propose a radically different thesis: that the </w:t>
      </w:r>
      <w:r>
        <w:rPr>
          <w:i/>
          <w:iCs/>
        </w:rPr>
        <w:t xml:space="preserve">Dao De Jing</w:t>
      </w:r>
      <w:r>
        <w:t xml:space="preserve"> is a precise and sophisticated technical manual describing the geometry of recursive, self-organizing systems. A rigorous structural-linguistic analysis, grounded in the physical and technological context of ancient China, reveals a work not of poetry but of specification. Where traditional readings find mysticism, this framework uncovers mechanics; where they see moral advice, it finds engineering principles. The text, we argue, was written by acute observers who documented what they saw with their own eyes, touched with their own hands, and built with their own labor.</w:t>
      </w:r>
    </w:p>
    <w:p>
      <w:pPr>
        <w:spacing w:after="200"/>
      </w:pPr>
      <w:r>
        <w:t xml:space="preserve">The objective of this paper is to present a rigorous, evidence-based argument for this structural interpretation. We will proceed by deconstructing the text's core components to reveal its operational logic. First, we will outline the structural-linguistic methodology that makes this reading possible. Second, we will analyze the text's vocabulary as a functional grammar of substrates and operations. Third, we will decode the text's opening chapter as a complete coordinate system for describing reality. Fourth, we will present cross-domain validation from ancient technologies—principally metallurgy and weaving—to demonstrate that the text's abstract principles are direct documentations of observable physical processes. Fifth, and most critically, we will present the polarity principle encoded in Chapter 25, demonstrating that the text describes not cyclical return but the structural co-emergence of opposites in an infinite field. This analysis will show that the </w:t>
      </w:r>
      <w:r>
        <w:rPr>
          <w:i/>
          <w:iCs/>
        </w:rPr>
        <w:t xml:space="preserve">Dao De Jing</w:t>
      </w:r>
      <w:r>
        <w:t xml:space="preserve"> is not a guide to achieving an ineffable state, but an engineering manual for a universe built on a simple, recursive, and self-grounding algorithm.</w:t>
      </w:r>
    </w:p>
    <w:p>
      <w:pPr>
        <w:pStyle w:val="Heading1"/>
      </w:pPr>
      <w:r>
        <w:t xml:space="preserve">2. Methodology: A Structural-Linguistic Framework</w:t>
      </w:r>
    </w:p>
    <w:p>
      <w:pPr>
        <w:spacing w:after="200"/>
      </w:pPr>
      <w:r>
        <w:t xml:space="preserve">The reinterpretation presented in this paper is enabled by a strategic shift in analytical method. Moving beyond philosophical exegesis, which often projects modern concerns onto ancient texts, our approach employs a systematic structural-linguistic framework. This methodology analyzes the text's internal grammar and its direct relationship to the physical world of its authors. By treating the text as a document grounded in observable phenomena, we can formulate falsifiable claims about its meaning, moving the discourse from subjective interpretation to evidence-based analysis.</w:t>
      </w:r>
    </w:p>
    <w:p>
      <w:pPr>
        <w:spacing w:after="200"/>
      </w:pPr>
      <w:r>
        <w:t xml:space="preserve">The methodology rests on three core tenets:</w:t>
      </w:r>
    </w:p>
    <w:p>
      <w:pPr>
        <w:spacing w:after="200"/>
      </w:pPr>
      <w:r>
        <w:rPr>
          <w:b/>
          <w:bCs/>
        </w:rPr>
        <w:t xml:space="preserve">Character as Operation: </w:t>
      </w:r>
      <w:r>
        <w:t xml:space="preserve">Chinese characters are treated not as abstract symbols representing concepts, but as "equations" or diagrams of physical operations. For example, the character 利 (lì), traditionally translated as "benefit" or "profit," is deconstructed into its constituent radicals: 禾 (grain standing in a field) and 刂 (a blade). In this framework, 利 is not an abstract concept but the specific physical operation of a scythe arcing through grain—the harvest. Each character is a miniature manual documenting a transformation.</w:t>
      </w:r>
    </w:p>
    <w:p>
      <w:pPr>
        <w:spacing w:after="200"/>
      </w:pPr>
      <w:r>
        <w:rPr>
          <w:b/>
          <w:bCs/>
        </w:rPr>
        <w:t xml:space="preserve">Radicals as Functional Components: </w:t>
      </w:r>
      <w:r>
        <w:t xml:space="preserve">Radicals, the building blocks of characters, are analyzed as encoding one of two functional roles. A substrate radical identifies the material or domain being acted upon (e.g., 禾 for grain, 氵 for water). An operator radical identifies the action being performed (e.g., 刂 for a blade, 口 for an opening or point of distribution). This "substrate-operator grammar" allows for a systematic decoding of the text's vocabulary, revealing consistent patterns of transformation across different domains.</w:t>
      </w:r>
    </w:p>
    <w:p>
      <w:pPr>
        <w:spacing w:after="200"/>
      </w:pPr>
      <w:r>
        <w:rPr>
          <w:b/>
          <w:bCs/>
        </w:rPr>
        <w:t xml:space="preserve">Technology as Exegesis: </w:t>
      </w:r>
      <w:r>
        <w:t xml:space="preserve">The physical mechanics of ancient technologies—such as metallurgy, weaving, agriculture, and hydraulics—are used as the primary context for interpreting the text's operational language. Instead of treating references to the forge or the loom as mere metaphors for philosophical ideas, this method posits that these crafts were the laboratories where the principles of the Dao were discovered, tested, and refined. The tools are textbooks; the crafts are experiments.</w:t>
      </w:r>
    </w:p>
    <w:p>
      <w:pPr>
        <w:spacing w:after="200"/>
      </w:pPr>
      <w:r>
        <w:t xml:space="preserve">This structural-linguistic methodology allows for a reading of the </w:t>
      </w:r>
      <w:r>
        <w:rPr>
          <w:i/>
          <w:iCs/>
        </w:rPr>
        <w:t xml:space="preserve">Dao De Jing</w:t>
      </w:r>
      <w:r>
        <w:t xml:space="preserve"> that is both internally consistent and externally verifiable. It grounds the text's claims in observable structures and predictable interactions, transforming it from a collection of mystical aphorisms into a coherent and falsifiable engineering document.</w:t>
      </w:r>
    </w:p>
    <w:p>
      <w:pPr>
        <w:pStyle w:val="Heading1"/>
      </w:pPr>
      <w:r>
        <w:t xml:space="preserve">3. Part I: The Lexicon of Operations—A Substrate Grammar</w:t>
      </w:r>
    </w:p>
    <w:p>
      <w:pPr>
        <w:spacing w:after="200"/>
      </w:pPr>
      <w:r>
        <w:t xml:space="preserve">To decode the </w:t>
      </w:r>
      <w:r>
        <w:rPr>
          <w:i/>
          <w:iCs/>
        </w:rPr>
        <w:t xml:space="preserve">Dao De Jing</w:t>
      </w:r>
      <w:r>
        <w:t xml:space="preserve"> as a technical manual, the first step is to deconstruct its vocabulary. Traditional translations often assign abstract or moral qualities to key characters, obscuring their underlying operational meaning. By analyzing the text through its "substrate grammar," we can recover the physical domains in which its principles operate. This section presents evidence for distinct "substrate families," where a core radical defines the material domain upon which various operators act to produce specific, predictable transformations.</w:t>
      </w:r>
    </w:p>
    <w:p>
      <w:pPr>
        <w:pStyle w:val="Heading2"/>
      </w:pPr>
      <w:r>
        <w:t xml:space="preserve">The 禾 (hé) Grain Substrate</w:t>
      </w:r>
    </w:p>
    <w:p>
      <w:pPr>
        <w:spacing w:after="200"/>
      </w:pPr>
      <w:r>
        <w:t xml:space="preserve">The 禾 radical designates the domain of discrete, countable, and harvestable resources. It represents potential held in a distributed form, like a field of standing grain awaiting the arc of a scythe. Operations on this substrate relate to gathering, distributing, and accumulating discrete units.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000"/>
        <w:gridCol w:w="4660"/>
      </w:tblGrid>
      <w:tr>
        <w:trPr>
          <w:tblHeader/>
        </w:trPr>
        <w:tc>
          <w:tcPr>
            <w:tcW w:type="dxa" w:w="1500"/>
            <w:tcBorders>
              <w:top w:val="single" w:color="999999" w:sz="1"/>
              <w:left w:val="single" w:color="999999" w:sz="1"/>
              <w:bottom w:val="single" w:color="999999" w:sz="1"/>
              <w:right w:val="single" w:color="999999" w:sz="1"/>
            </w:tcBorders>
            <w:shd w:fill="E8E8E8" w:val="clear"/>
          </w:tcPr>
          <w:p>
            <w:r>
              <w:rPr>
                <w:b/>
                <w:bCs/>
              </w:rPr>
              <w:t xml:space="preserve">Character</w:t>
            </w:r>
          </w:p>
        </w:tc>
        <w:tc>
          <w:tcPr>
            <w:tcW w:type="dxa" w:w="1200"/>
            <w:tcBorders>
              <w:top w:val="single" w:color="999999" w:sz="1"/>
              <w:left w:val="single" w:color="999999" w:sz="1"/>
              <w:bottom w:val="single" w:color="999999" w:sz="1"/>
              <w:right w:val="single" w:color="999999" w:sz="1"/>
            </w:tcBorders>
            <w:shd w:fill="E8E8E8" w:val="clear"/>
          </w:tcPr>
          <w:p>
            <w:r>
              <w:rPr>
                <w:b/>
                <w:bCs/>
              </w:rPr>
              <w:t xml:space="preserve">Pinyin</w:t>
            </w:r>
          </w:p>
        </w:tc>
        <w:tc>
          <w:tcPr>
            <w:tcW w:type="dxa" w:w="2000"/>
            <w:tcBorders>
              <w:top w:val="single" w:color="999999" w:sz="1"/>
              <w:left w:val="single" w:color="999999" w:sz="1"/>
              <w:bottom w:val="single" w:color="999999" w:sz="1"/>
              <w:right w:val="single" w:color="999999" w:sz="1"/>
            </w:tcBorders>
            <w:shd w:fill="E8E8E8" w:val="clear"/>
          </w:tcPr>
          <w:p>
            <w:r>
              <w:rPr>
                <w:b/>
                <w:bCs/>
              </w:rPr>
              <w:t xml:space="preserve">+ Operator</w:t>
            </w:r>
          </w:p>
        </w:tc>
        <w:tc>
          <w:tcPr>
            <w:tcW w:type="dxa" w:w="4660"/>
            <w:tcBorders>
              <w:top w:val="single" w:color="999999" w:sz="1"/>
              <w:left w:val="single" w:color="999999" w:sz="1"/>
              <w:bottom w:val="single" w:color="999999" w:sz="1"/>
              <w:right w:val="single" w:color="999999" w:sz="1"/>
            </w:tcBorders>
            <w:shd w:fill="E8E8E8" w:val="clear"/>
          </w:tcPr>
          <w:p>
            <w:r>
              <w:rPr>
                <w:b/>
                <w:bCs/>
              </w:rPr>
              <w:t xml:space="preserve">Transformation</w:t>
            </w:r>
          </w:p>
        </w:tc>
      </w:tr>
      <w:tr>
        <w:tc>
          <w:tcPr>
            <w:tcW w:type="dxa" w:w="1500"/>
            <w:tcBorders>
              <w:top w:val="single" w:color="999999" w:sz="1"/>
              <w:left w:val="single" w:color="999999" w:sz="1"/>
              <w:bottom w:val="single" w:color="999999" w:sz="1"/>
              <w:right w:val="single" w:color="999999" w:sz="1"/>
            </w:tcBorders>
          </w:tcPr>
          <w:p>
            <w:r>
              <w:t xml:space="preserve">利</w:t>
            </w:r>
          </w:p>
        </w:tc>
        <w:tc>
          <w:tcPr>
            <w:tcW w:type="dxa" w:w="1200"/>
            <w:tcBorders>
              <w:top w:val="single" w:color="999999" w:sz="1"/>
              <w:left w:val="single" w:color="999999" w:sz="1"/>
              <w:bottom w:val="single" w:color="999999" w:sz="1"/>
              <w:right w:val="single" w:color="999999" w:sz="1"/>
            </w:tcBorders>
          </w:tcPr>
          <w:p>
            <w:r>
              <w:t xml:space="preserve">lì</w:t>
            </w:r>
          </w:p>
        </w:tc>
        <w:tc>
          <w:tcPr>
            <w:tcW w:type="dxa" w:w="2000"/>
            <w:tcBorders>
              <w:top w:val="single" w:color="999999" w:sz="1"/>
              <w:left w:val="single" w:color="999999" w:sz="1"/>
              <w:bottom w:val="single" w:color="999999" w:sz="1"/>
              <w:right w:val="single" w:color="999999" w:sz="1"/>
            </w:tcBorders>
          </w:tcPr>
          <w:p>
            <w:r>
              <w:t xml:space="preserve">刂 (blade)</w:t>
            </w:r>
          </w:p>
        </w:tc>
        <w:tc>
          <w:tcPr>
            <w:tcW w:type="dxa" w:w="4660"/>
            <w:tcBorders>
              <w:top w:val="single" w:color="999999" w:sz="1"/>
              <w:left w:val="single" w:color="999999" w:sz="1"/>
              <w:bottom w:val="single" w:color="999999" w:sz="1"/>
              <w:right w:val="single" w:color="999999" w:sz="1"/>
            </w:tcBorders>
          </w:tcPr>
          <w:p>
            <w:r>
              <w:t xml:space="preserve">Scythe arcs through → harvest/path-cutting</w:t>
            </w:r>
          </w:p>
        </w:tc>
      </w:tr>
      <w:tr>
        <w:tc>
          <w:tcPr>
            <w:tcW w:type="dxa" w:w="1500"/>
            <w:tcBorders>
              <w:top w:val="single" w:color="999999" w:sz="1"/>
              <w:left w:val="single" w:color="999999" w:sz="1"/>
              <w:bottom w:val="single" w:color="999999" w:sz="1"/>
              <w:right w:val="single" w:color="999999" w:sz="1"/>
            </w:tcBorders>
          </w:tcPr>
          <w:p>
            <w:r>
              <w:t xml:space="preserve">和</w:t>
            </w:r>
          </w:p>
        </w:tc>
        <w:tc>
          <w:tcPr>
            <w:tcW w:type="dxa" w:w="1200"/>
            <w:tcBorders>
              <w:top w:val="single" w:color="999999" w:sz="1"/>
              <w:left w:val="single" w:color="999999" w:sz="1"/>
              <w:bottom w:val="single" w:color="999999" w:sz="1"/>
              <w:right w:val="single" w:color="999999" w:sz="1"/>
            </w:tcBorders>
          </w:tcPr>
          <w:p>
            <w:r>
              <w:t xml:space="preserve">hé</w:t>
            </w:r>
          </w:p>
        </w:tc>
        <w:tc>
          <w:tcPr>
            <w:tcW w:type="dxa" w:w="2000"/>
            <w:tcBorders>
              <w:top w:val="single" w:color="999999" w:sz="1"/>
              <w:left w:val="single" w:color="999999" w:sz="1"/>
              <w:bottom w:val="single" w:color="999999" w:sz="1"/>
              <w:right w:val="single" w:color="999999" w:sz="1"/>
            </w:tcBorders>
          </w:tcPr>
          <w:p>
            <w:r>
              <w:t xml:space="preserve">口 (mouth)</w:t>
            </w:r>
          </w:p>
        </w:tc>
        <w:tc>
          <w:tcPr>
            <w:tcW w:type="dxa" w:w="4660"/>
            <w:tcBorders>
              <w:top w:val="single" w:color="999999" w:sz="1"/>
              <w:left w:val="single" w:color="999999" w:sz="1"/>
              <w:bottom w:val="single" w:color="999999" w:sz="1"/>
              <w:right w:val="single" w:color="999999" w:sz="1"/>
            </w:tcBorders>
          </w:tcPr>
          <w:p>
            <w:r>
              <w:t xml:space="preserve">Grain distributed → harmonious flow</w:t>
            </w:r>
          </w:p>
        </w:tc>
      </w:tr>
      <w:tr>
        <w:tc>
          <w:tcPr>
            <w:tcW w:type="dxa" w:w="1500"/>
            <w:tcBorders>
              <w:top w:val="single" w:color="999999" w:sz="1"/>
              <w:left w:val="single" w:color="999999" w:sz="1"/>
              <w:bottom w:val="single" w:color="999999" w:sz="1"/>
              <w:right w:val="single" w:color="999999" w:sz="1"/>
            </w:tcBorders>
          </w:tcPr>
          <w:p>
            <w:r>
              <w:t xml:space="preserve">積</w:t>
            </w:r>
          </w:p>
        </w:tc>
        <w:tc>
          <w:tcPr>
            <w:tcW w:type="dxa" w:w="1200"/>
            <w:tcBorders>
              <w:top w:val="single" w:color="999999" w:sz="1"/>
              <w:left w:val="single" w:color="999999" w:sz="1"/>
              <w:bottom w:val="single" w:color="999999" w:sz="1"/>
              <w:right w:val="single" w:color="999999" w:sz="1"/>
            </w:tcBorders>
          </w:tcPr>
          <w:p>
            <w:r>
              <w:t xml:space="preserve">jī</w:t>
            </w:r>
          </w:p>
        </w:tc>
        <w:tc>
          <w:tcPr>
            <w:tcW w:type="dxa" w:w="2000"/>
            <w:tcBorders>
              <w:top w:val="single" w:color="999999" w:sz="1"/>
              <w:left w:val="single" w:color="999999" w:sz="1"/>
              <w:bottom w:val="single" w:color="999999" w:sz="1"/>
              <w:right w:val="single" w:color="999999" w:sz="1"/>
            </w:tcBorders>
          </w:tcPr>
          <w:p>
            <w:r>
              <w:t xml:space="preserve">責 (burden)</w:t>
            </w:r>
          </w:p>
        </w:tc>
        <w:tc>
          <w:tcPr>
            <w:tcW w:type="dxa" w:w="4660"/>
            <w:tcBorders>
              <w:top w:val="single" w:color="999999" w:sz="1"/>
              <w:left w:val="single" w:color="999999" w:sz="1"/>
              <w:bottom w:val="single" w:color="999999" w:sz="1"/>
              <w:right w:val="single" w:color="999999" w:sz="1"/>
            </w:tcBorders>
          </w:tcPr>
          <w:p>
            <w:r>
              <w:t xml:space="preserve">Grain + obligation → accumulated store</w:t>
            </w:r>
          </w:p>
        </w:tc>
      </w:tr>
      <w:tr>
        <w:tc>
          <w:tcPr>
            <w:tcW w:type="dxa" w:w="1500"/>
            <w:tcBorders>
              <w:top w:val="single" w:color="999999" w:sz="1"/>
              <w:left w:val="single" w:color="999999" w:sz="1"/>
              <w:bottom w:val="single" w:color="999999" w:sz="1"/>
              <w:right w:val="single" w:color="999999" w:sz="1"/>
            </w:tcBorders>
          </w:tcPr>
          <w:p>
            <w:r>
              <w:t xml:space="preserve">私</w:t>
            </w:r>
          </w:p>
        </w:tc>
        <w:tc>
          <w:tcPr>
            <w:tcW w:type="dxa" w:w="1200"/>
            <w:tcBorders>
              <w:top w:val="single" w:color="999999" w:sz="1"/>
              <w:left w:val="single" w:color="999999" w:sz="1"/>
              <w:bottom w:val="single" w:color="999999" w:sz="1"/>
              <w:right w:val="single" w:color="999999" w:sz="1"/>
            </w:tcBorders>
          </w:tcPr>
          <w:p>
            <w:r>
              <w:t xml:space="preserve">sī</w:t>
            </w:r>
          </w:p>
        </w:tc>
        <w:tc>
          <w:tcPr>
            <w:tcW w:type="dxa" w:w="2000"/>
            <w:tcBorders>
              <w:top w:val="single" w:color="999999" w:sz="1"/>
              <w:left w:val="single" w:color="999999" w:sz="1"/>
              <w:bottom w:val="single" w:color="999999" w:sz="1"/>
              <w:right w:val="single" w:color="999999" w:sz="1"/>
            </w:tcBorders>
          </w:tcPr>
          <w:p>
            <w:r>
              <w:t xml:space="preserve">厶 (private)</w:t>
            </w:r>
          </w:p>
        </w:tc>
        <w:tc>
          <w:tcPr>
            <w:tcW w:type="dxa" w:w="4660"/>
            <w:tcBorders>
              <w:top w:val="single" w:color="999999" w:sz="1"/>
              <w:left w:val="single" w:color="999999" w:sz="1"/>
              <w:bottom w:val="single" w:color="999999" w:sz="1"/>
              <w:right w:val="single" w:color="999999" w:sz="1"/>
            </w:tcBorders>
          </w:tcPr>
          <w:p>
            <w:r>
              <w:t xml:space="preserve">Grain privatized → personal portion</w:t>
            </w:r>
          </w:p>
        </w:tc>
      </w:tr>
    </w:tbl>
    <w:p>
      <w:pPr>
        <w:spacing w:after="200"/>
      </w:pPr>
    </w:p>
    <w:p>
      <w:pPr>
        <w:pStyle w:val="Heading2"/>
      </w:pPr>
      <w:r>
        <w:t xml:space="preserve">The 氵 (shuǐ) Water Substrate</w:t>
      </w:r>
    </w:p>
    <w:p>
      <w:pPr>
        <w:spacing w:after="200"/>
      </w:pPr>
      <w:r>
        <w:t xml:space="preserve">The 氵 radical represents the domain of continuous flow. Unlike the discrete potential of grain, water is potential already in motion, naturally finding its path without forcing. This makes water the physical demonstration of 無為 (wú wéi), or non-forcing action. Characters built on this substrate encode principles of hydraulic engineering, self-organization, and governance through natural channeling.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000"/>
        <w:gridCol w:w="4660"/>
      </w:tblGrid>
      <w:tr>
        <w:trPr>
          <w:tblHeader/>
        </w:trPr>
        <w:tc>
          <w:tcPr>
            <w:tcW w:type="dxa" w:w="1500"/>
            <w:tcBorders>
              <w:top w:val="single" w:color="999999" w:sz="1"/>
              <w:left w:val="single" w:color="999999" w:sz="1"/>
              <w:bottom w:val="single" w:color="999999" w:sz="1"/>
              <w:right w:val="single" w:color="999999" w:sz="1"/>
            </w:tcBorders>
            <w:shd w:fill="E8E8E8" w:val="clear"/>
          </w:tcPr>
          <w:p>
            <w:r>
              <w:rPr>
                <w:b/>
                <w:bCs/>
              </w:rPr>
              <w:t xml:space="preserve">Character</w:t>
            </w:r>
          </w:p>
        </w:tc>
        <w:tc>
          <w:tcPr>
            <w:tcW w:type="dxa" w:w="1200"/>
            <w:tcBorders>
              <w:top w:val="single" w:color="999999" w:sz="1"/>
              <w:left w:val="single" w:color="999999" w:sz="1"/>
              <w:bottom w:val="single" w:color="999999" w:sz="1"/>
              <w:right w:val="single" w:color="999999" w:sz="1"/>
            </w:tcBorders>
            <w:shd w:fill="E8E8E8" w:val="clear"/>
          </w:tcPr>
          <w:p>
            <w:r>
              <w:rPr>
                <w:b/>
                <w:bCs/>
              </w:rPr>
              <w:t xml:space="preserve">Pinyin</w:t>
            </w:r>
          </w:p>
        </w:tc>
        <w:tc>
          <w:tcPr>
            <w:tcW w:type="dxa" w:w="2000"/>
            <w:tcBorders>
              <w:top w:val="single" w:color="999999" w:sz="1"/>
              <w:left w:val="single" w:color="999999" w:sz="1"/>
              <w:bottom w:val="single" w:color="999999" w:sz="1"/>
              <w:right w:val="single" w:color="999999" w:sz="1"/>
            </w:tcBorders>
            <w:shd w:fill="E8E8E8" w:val="clear"/>
          </w:tcPr>
          <w:p>
            <w:r>
              <w:rPr>
                <w:b/>
                <w:bCs/>
              </w:rPr>
              <w:t xml:space="preserve">+ Operator</w:t>
            </w:r>
          </w:p>
        </w:tc>
        <w:tc>
          <w:tcPr>
            <w:tcW w:type="dxa" w:w="4660"/>
            <w:tcBorders>
              <w:top w:val="single" w:color="999999" w:sz="1"/>
              <w:left w:val="single" w:color="999999" w:sz="1"/>
              <w:bottom w:val="single" w:color="999999" w:sz="1"/>
              <w:right w:val="single" w:color="999999" w:sz="1"/>
            </w:tcBorders>
            <w:shd w:fill="E8E8E8" w:val="clear"/>
          </w:tcPr>
          <w:p>
            <w:r>
              <w:rPr>
                <w:b/>
                <w:bCs/>
              </w:rPr>
              <w:t xml:space="preserve">Transformation</w:t>
            </w:r>
          </w:p>
        </w:tc>
      </w:tr>
      <w:tr>
        <w:tc>
          <w:tcPr>
            <w:tcW w:type="dxa" w:w="1500"/>
            <w:tcBorders>
              <w:top w:val="single" w:color="999999" w:sz="1"/>
              <w:left w:val="single" w:color="999999" w:sz="1"/>
              <w:bottom w:val="single" w:color="999999" w:sz="1"/>
              <w:right w:val="single" w:color="999999" w:sz="1"/>
            </w:tcBorders>
          </w:tcPr>
          <w:p>
            <w:r>
              <w:t xml:space="preserve">淵</w:t>
            </w:r>
          </w:p>
        </w:tc>
        <w:tc>
          <w:tcPr>
            <w:tcW w:type="dxa" w:w="1200"/>
            <w:tcBorders>
              <w:top w:val="single" w:color="999999" w:sz="1"/>
              <w:left w:val="single" w:color="999999" w:sz="1"/>
              <w:bottom w:val="single" w:color="999999" w:sz="1"/>
              <w:right w:val="single" w:color="999999" w:sz="1"/>
            </w:tcBorders>
          </w:tcPr>
          <w:p>
            <w:r>
              <w:t xml:space="preserve">yuān</w:t>
            </w:r>
          </w:p>
        </w:tc>
        <w:tc>
          <w:tcPr>
            <w:tcW w:type="dxa" w:w="2000"/>
            <w:tcBorders>
              <w:top w:val="single" w:color="999999" w:sz="1"/>
              <w:left w:val="single" w:color="999999" w:sz="1"/>
              <w:bottom w:val="single" w:color="999999" w:sz="1"/>
              <w:right w:val="single" w:color="999999" w:sz="1"/>
            </w:tcBorders>
          </w:tcPr>
          <w:p>
            <w:r>
              <w:t xml:space="preserve">(deep)</w:t>
            </w:r>
          </w:p>
        </w:tc>
        <w:tc>
          <w:tcPr>
            <w:tcW w:type="dxa" w:w="4660"/>
            <w:tcBorders>
              <w:top w:val="single" w:color="999999" w:sz="1"/>
              <w:left w:val="single" w:color="999999" w:sz="1"/>
              <w:bottom w:val="single" w:color="999999" w:sz="1"/>
              <w:right w:val="single" w:color="999999" w:sz="1"/>
            </w:tcBorders>
          </w:tcPr>
          <w:p>
            <w:r>
              <w:t xml:space="preserve">Water deepened → profound source/abyss</w:t>
            </w:r>
          </w:p>
        </w:tc>
      </w:tr>
      <w:tr>
        <w:tc>
          <w:tcPr>
            <w:tcW w:type="dxa" w:w="1500"/>
            <w:tcBorders>
              <w:top w:val="single" w:color="999999" w:sz="1"/>
              <w:left w:val="single" w:color="999999" w:sz="1"/>
              <w:bottom w:val="single" w:color="999999" w:sz="1"/>
              <w:right w:val="single" w:color="999999" w:sz="1"/>
            </w:tcBorders>
          </w:tcPr>
          <w:p>
            <w:r>
              <w:t xml:space="preserve">沖</w:t>
            </w:r>
          </w:p>
        </w:tc>
        <w:tc>
          <w:tcPr>
            <w:tcW w:type="dxa" w:w="1200"/>
            <w:tcBorders>
              <w:top w:val="single" w:color="999999" w:sz="1"/>
              <w:left w:val="single" w:color="999999" w:sz="1"/>
              <w:bottom w:val="single" w:color="999999" w:sz="1"/>
              <w:right w:val="single" w:color="999999" w:sz="1"/>
            </w:tcBorders>
          </w:tcPr>
          <w:p>
            <w:r>
              <w:t xml:space="preserve">chōng</w:t>
            </w:r>
          </w:p>
        </w:tc>
        <w:tc>
          <w:tcPr>
            <w:tcW w:type="dxa" w:w="2000"/>
            <w:tcBorders>
              <w:top w:val="single" w:color="999999" w:sz="1"/>
              <w:left w:val="single" w:color="999999" w:sz="1"/>
              <w:bottom w:val="single" w:color="999999" w:sz="1"/>
              <w:right w:val="single" w:color="999999" w:sz="1"/>
            </w:tcBorders>
          </w:tcPr>
          <w:p>
            <w:r>
              <w:t xml:space="preserve">中 (center)</w:t>
            </w:r>
          </w:p>
        </w:tc>
        <w:tc>
          <w:tcPr>
            <w:tcW w:type="dxa" w:w="4660"/>
            <w:tcBorders>
              <w:top w:val="single" w:color="999999" w:sz="1"/>
              <w:left w:val="single" w:color="999999" w:sz="1"/>
              <w:bottom w:val="single" w:color="999999" w:sz="1"/>
              <w:right w:val="single" w:color="999999" w:sz="1"/>
            </w:tcBorders>
          </w:tcPr>
          <w:p>
            <w:r>
              <w:t xml:space="preserve">Water centered → hollow/concentrated</w:t>
            </w:r>
          </w:p>
        </w:tc>
      </w:tr>
      <w:tr>
        <w:tc>
          <w:tcPr>
            <w:tcW w:type="dxa" w:w="1500"/>
            <w:tcBorders>
              <w:top w:val="single" w:color="999999" w:sz="1"/>
              <w:left w:val="single" w:color="999999" w:sz="1"/>
              <w:bottom w:val="single" w:color="999999" w:sz="1"/>
              <w:right w:val="single" w:color="999999" w:sz="1"/>
            </w:tcBorders>
          </w:tcPr>
          <w:p>
            <w:r>
              <w:t xml:space="preserve">清</w:t>
            </w:r>
          </w:p>
        </w:tc>
        <w:tc>
          <w:tcPr>
            <w:tcW w:type="dxa" w:w="1200"/>
            <w:tcBorders>
              <w:top w:val="single" w:color="999999" w:sz="1"/>
              <w:left w:val="single" w:color="999999" w:sz="1"/>
              <w:bottom w:val="single" w:color="999999" w:sz="1"/>
              <w:right w:val="single" w:color="999999" w:sz="1"/>
            </w:tcBorders>
          </w:tcPr>
          <w:p>
            <w:r>
              <w:t xml:space="preserve">qīng</w:t>
            </w:r>
          </w:p>
        </w:tc>
        <w:tc>
          <w:tcPr>
            <w:tcW w:type="dxa" w:w="2000"/>
            <w:tcBorders>
              <w:top w:val="single" w:color="999999" w:sz="1"/>
              <w:left w:val="single" w:color="999999" w:sz="1"/>
              <w:bottom w:val="single" w:color="999999" w:sz="1"/>
              <w:right w:val="single" w:color="999999" w:sz="1"/>
            </w:tcBorders>
          </w:tcPr>
          <w:p>
            <w:r>
              <w:t xml:space="preserve">青 (clear)</w:t>
            </w:r>
          </w:p>
        </w:tc>
        <w:tc>
          <w:tcPr>
            <w:tcW w:type="dxa" w:w="4660"/>
            <w:tcBorders>
              <w:top w:val="single" w:color="999999" w:sz="1"/>
              <w:left w:val="single" w:color="999999" w:sz="1"/>
              <w:bottom w:val="single" w:color="999999" w:sz="1"/>
              <w:right w:val="single" w:color="999999" w:sz="1"/>
            </w:tcBorders>
          </w:tcPr>
          <w:p>
            <w:r>
              <w:t xml:space="preserve">Water clarified → transparency</w:t>
            </w:r>
          </w:p>
        </w:tc>
      </w:tr>
      <w:tr>
        <w:tc>
          <w:tcPr>
            <w:tcW w:type="dxa" w:w="1500"/>
            <w:tcBorders>
              <w:top w:val="single" w:color="999999" w:sz="1"/>
              <w:left w:val="single" w:color="999999" w:sz="1"/>
              <w:bottom w:val="single" w:color="999999" w:sz="1"/>
              <w:right w:val="single" w:color="999999" w:sz="1"/>
            </w:tcBorders>
          </w:tcPr>
          <w:p>
            <w:r>
              <w:t xml:space="preserve">治</w:t>
            </w:r>
          </w:p>
        </w:tc>
        <w:tc>
          <w:tcPr>
            <w:tcW w:type="dxa" w:w="1200"/>
            <w:tcBorders>
              <w:top w:val="single" w:color="999999" w:sz="1"/>
              <w:left w:val="single" w:color="999999" w:sz="1"/>
              <w:bottom w:val="single" w:color="999999" w:sz="1"/>
              <w:right w:val="single" w:color="999999" w:sz="1"/>
            </w:tcBorders>
          </w:tcPr>
          <w:p>
            <w:r>
              <w:t xml:space="preserve">zhì</w:t>
            </w:r>
          </w:p>
        </w:tc>
        <w:tc>
          <w:tcPr>
            <w:tcW w:type="dxa" w:w="2000"/>
            <w:tcBorders>
              <w:top w:val="single" w:color="999999" w:sz="1"/>
              <w:left w:val="single" w:color="999999" w:sz="1"/>
              <w:bottom w:val="single" w:color="999999" w:sz="1"/>
              <w:right w:val="single" w:color="999999" w:sz="1"/>
            </w:tcBorders>
          </w:tcPr>
          <w:p>
            <w:r>
              <w:t xml:space="preserve">台 (platform)</w:t>
            </w:r>
          </w:p>
        </w:tc>
        <w:tc>
          <w:tcPr>
            <w:tcW w:type="dxa" w:w="4660"/>
            <w:tcBorders>
              <w:top w:val="single" w:color="999999" w:sz="1"/>
              <w:left w:val="single" w:color="999999" w:sz="1"/>
              <w:bottom w:val="single" w:color="999999" w:sz="1"/>
              <w:right w:val="single" w:color="999999" w:sz="1"/>
            </w:tcBorders>
          </w:tcPr>
          <w:p>
            <w:r>
              <w:t xml:space="preserve">Water channeled → governance</w:t>
            </w:r>
          </w:p>
        </w:tc>
      </w:tr>
      <w:tr>
        <w:tc>
          <w:tcPr>
            <w:tcW w:type="dxa" w:w="1500"/>
            <w:tcBorders>
              <w:top w:val="single" w:color="999999" w:sz="1"/>
              <w:left w:val="single" w:color="999999" w:sz="1"/>
              <w:bottom w:val="single" w:color="999999" w:sz="1"/>
              <w:right w:val="single" w:color="999999" w:sz="1"/>
            </w:tcBorders>
          </w:tcPr>
          <w:p>
            <w:r>
              <w:t xml:space="preserve">法</w:t>
            </w:r>
          </w:p>
        </w:tc>
        <w:tc>
          <w:tcPr>
            <w:tcW w:type="dxa" w:w="1200"/>
            <w:tcBorders>
              <w:top w:val="single" w:color="999999" w:sz="1"/>
              <w:left w:val="single" w:color="999999" w:sz="1"/>
              <w:bottom w:val="single" w:color="999999" w:sz="1"/>
              <w:right w:val="single" w:color="999999" w:sz="1"/>
            </w:tcBorders>
          </w:tcPr>
          <w:p>
            <w:r>
              <w:t xml:space="preserve">fǎ</w:t>
            </w:r>
          </w:p>
        </w:tc>
        <w:tc>
          <w:tcPr>
            <w:tcW w:type="dxa" w:w="2000"/>
            <w:tcBorders>
              <w:top w:val="single" w:color="999999" w:sz="1"/>
              <w:left w:val="single" w:color="999999" w:sz="1"/>
              <w:bottom w:val="single" w:color="999999" w:sz="1"/>
              <w:right w:val="single" w:color="999999" w:sz="1"/>
            </w:tcBorders>
          </w:tcPr>
          <w:p>
            <w:r>
              <w:t xml:space="preserve">去 (remove)</w:t>
            </w:r>
          </w:p>
        </w:tc>
        <w:tc>
          <w:tcPr>
            <w:tcW w:type="dxa" w:w="4660"/>
            <w:tcBorders>
              <w:top w:val="single" w:color="999999" w:sz="1"/>
              <w:left w:val="single" w:color="999999" w:sz="1"/>
              <w:bottom w:val="single" w:color="999999" w:sz="1"/>
              <w:right w:val="single" w:color="999999" w:sz="1"/>
            </w:tcBorders>
          </w:tcPr>
          <w:p>
            <w:r>
              <w:t xml:space="preserve">Water removes → law/method</w:t>
            </w:r>
          </w:p>
        </w:tc>
      </w:tr>
    </w:tbl>
    <w:p>
      <w:pPr>
        <w:spacing w:after="200"/>
      </w:pPr>
    </w:p>
    <w:p>
      <w:pPr>
        <w:pStyle w:val="Heading2"/>
      </w:pPr>
      <w:r>
        <w:t xml:space="preserve">The 貝 (bèi) Value Substrate</w:t>
      </w:r>
    </w:p>
    <w:p>
      <w:pPr>
        <w:spacing w:after="200"/>
      </w:pPr>
      <w:r>
        <w:t xml:space="preserve">The 貝 radical, derived from the cowrie shell used as early currency, encodes the domain of commensurable worth and social or economic structures. Operations on this substrate produce the rules, hierarchies, and goods that constitute a value system. The text uses this family to document how social patterns emerge from distinctions of value.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000"/>
        <w:gridCol w:w="4660"/>
      </w:tblGrid>
      <w:tr>
        <w:trPr>
          <w:tblHeader/>
        </w:trPr>
        <w:tc>
          <w:tcPr>
            <w:tcW w:type="dxa" w:w="1500"/>
            <w:tcBorders>
              <w:top w:val="single" w:color="999999" w:sz="1"/>
              <w:left w:val="single" w:color="999999" w:sz="1"/>
              <w:bottom w:val="single" w:color="999999" w:sz="1"/>
              <w:right w:val="single" w:color="999999" w:sz="1"/>
            </w:tcBorders>
            <w:shd w:fill="E8E8E8" w:val="clear"/>
          </w:tcPr>
          <w:p>
            <w:r>
              <w:rPr>
                <w:b/>
                <w:bCs/>
              </w:rPr>
              <w:t xml:space="preserve">Character</w:t>
            </w:r>
          </w:p>
        </w:tc>
        <w:tc>
          <w:tcPr>
            <w:tcW w:type="dxa" w:w="1200"/>
            <w:tcBorders>
              <w:top w:val="single" w:color="999999" w:sz="1"/>
              <w:left w:val="single" w:color="999999" w:sz="1"/>
              <w:bottom w:val="single" w:color="999999" w:sz="1"/>
              <w:right w:val="single" w:color="999999" w:sz="1"/>
            </w:tcBorders>
            <w:shd w:fill="E8E8E8" w:val="clear"/>
          </w:tcPr>
          <w:p>
            <w:r>
              <w:rPr>
                <w:b/>
                <w:bCs/>
              </w:rPr>
              <w:t xml:space="preserve">Pinyin</w:t>
            </w:r>
          </w:p>
        </w:tc>
        <w:tc>
          <w:tcPr>
            <w:tcW w:type="dxa" w:w="2000"/>
            <w:tcBorders>
              <w:top w:val="single" w:color="999999" w:sz="1"/>
              <w:left w:val="single" w:color="999999" w:sz="1"/>
              <w:bottom w:val="single" w:color="999999" w:sz="1"/>
              <w:right w:val="single" w:color="999999" w:sz="1"/>
            </w:tcBorders>
            <w:shd w:fill="E8E8E8" w:val="clear"/>
          </w:tcPr>
          <w:p>
            <w:r>
              <w:rPr>
                <w:b/>
                <w:bCs/>
              </w:rPr>
              <w:t xml:space="preserve">+ Operator</w:t>
            </w:r>
          </w:p>
        </w:tc>
        <w:tc>
          <w:tcPr>
            <w:tcW w:type="dxa" w:w="4660"/>
            <w:tcBorders>
              <w:top w:val="single" w:color="999999" w:sz="1"/>
              <w:left w:val="single" w:color="999999" w:sz="1"/>
              <w:bottom w:val="single" w:color="999999" w:sz="1"/>
              <w:right w:val="single" w:color="999999" w:sz="1"/>
            </w:tcBorders>
            <w:shd w:fill="E8E8E8" w:val="clear"/>
          </w:tcPr>
          <w:p>
            <w:r>
              <w:rPr>
                <w:b/>
                <w:bCs/>
              </w:rPr>
              <w:t xml:space="preserve">Transformation</w:t>
            </w:r>
          </w:p>
        </w:tc>
      </w:tr>
      <w:tr>
        <w:tc>
          <w:tcPr>
            <w:tcW w:type="dxa" w:w="1500"/>
            <w:tcBorders>
              <w:top w:val="single" w:color="999999" w:sz="1"/>
              <w:left w:val="single" w:color="999999" w:sz="1"/>
              <w:bottom w:val="single" w:color="999999" w:sz="1"/>
              <w:right w:val="single" w:color="999999" w:sz="1"/>
            </w:tcBorders>
          </w:tcPr>
          <w:p>
            <w:r>
              <w:t xml:space="preserve">則</w:t>
            </w:r>
          </w:p>
        </w:tc>
        <w:tc>
          <w:tcPr>
            <w:tcW w:type="dxa" w:w="1200"/>
            <w:tcBorders>
              <w:top w:val="single" w:color="999999" w:sz="1"/>
              <w:left w:val="single" w:color="999999" w:sz="1"/>
              <w:bottom w:val="single" w:color="999999" w:sz="1"/>
              <w:right w:val="single" w:color="999999" w:sz="1"/>
            </w:tcBorders>
          </w:tcPr>
          <w:p>
            <w:r>
              <w:t xml:space="preserve">zé</w:t>
            </w:r>
          </w:p>
        </w:tc>
        <w:tc>
          <w:tcPr>
            <w:tcW w:type="dxa" w:w="2000"/>
            <w:tcBorders>
              <w:top w:val="single" w:color="999999" w:sz="1"/>
              <w:left w:val="single" w:color="999999" w:sz="1"/>
              <w:bottom w:val="single" w:color="999999" w:sz="1"/>
              <w:right w:val="single" w:color="999999" w:sz="1"/>
            </w:tcBorders>
          </w:tcPr>
          <w:p>
            <w:r>
              <w:t xml:space="preserve">刂 (blade)</w:t>
            </w:r>
          </w:p>
        </w:tc>
        <w:tc>
          <w:tcPr>
            <w:tcW w:type="dxa" w:w="4660"/>
            <w:tcBorders>
              <w:top w:val="single" w:color="999999" w:sz="1"/>
              <w:left w:val="single" w:color="999999" w:sz="1"/>
              <w:bottom w:val="single" w:color="999999" w:sz="1"/>
              <w:right w:val="single" w:color="999999" w:sz="1"/>
            </w:tcBorders>
          </w:tcPr>
          <w:p>
            <w:r>
              <w:t xml:space="preserve">Value cut → consequent pattern/rule</w:t>
            </w:r>
          </w:p>
        </w:tc>
      </w:tr>
      <w:tr>
        <w:tc>
          <w:tcPr>
            <w:tcW w:type="dxa" w:w="1500"/>
            <w:tcBorders>
              <w:top w:val="single" w:color="999999" w:sz="1"/>
              <w:left w:val="single" w:color="999999" w:sz="1"/>
              <w:bottom w:val="single" w:color="999999" w:sz="1"/>
              <w:right w:val="single" w:color="999999" w:sz="1"/>
            </w:tcBorders>
          </w:tcPr>
          <w:p>
            <w:r>
              <w:t xml:space="preserve">貴</w:t>
            </w:r>
          </w:p>
        </w:tc>
        <w:tc>
          <w:tcPr>
            <w:tcW w:type="dxa" w:w="1200"/>
            <w:tcBorders>
              <w:top w:val="single" w:color="999999" w:sz="1"/>
              <w:left w:val="single" w:color="999999" w:sz="1"/>
              <w:bottom w:val="single" w:color="999999" w:sz="1"/>
              <w:right w:val="single" w:color="999999" w:sz="1"/>
            </w:tcBorders>
          </w:tcPr>
          <w:p>
            <w:r>
              <w:t xml:space="preserve">guì</w:t>
            </w:r>
          </w:p>
        </w:tc>
        <w:tc>
          <w:tcPr>
            <w:tcW w:type="dxa" w:w="2000"/>
            <w:tcBorders>
              <w:top w:val="single" w:color="999999" w:sz="1"/>
              <w:left w:val="single" w:color="999999" w:sz="1"/>
              <w:bottom w:val="single" w:color="999999" w:sz="1"/>
              <w:right w:val="single" w:color="999999" w:sz="1"/>
            </w:tcBorders>
          </w:tcPr>
          <w:p>
            <w:r>
              <w:t xml:space="preserve">臾 (high)</w:t>
            </w:r>
          </w:p>
        </w:tc>
        <w:tc>
          <w:tcPr>
            <w:tcW w:type="dxa" w:w="4660"/>
            <w:tcBorders>
              <w:top w:val="single" w:color="999999" w:sz="1"/>
              <w:left w:val="single" w:color="999999" w:sz="1"/>
              <w:bottom w:val="single" w:color="999999" w:sz="1"/>
              <w:right w:val="single" w:color="999999" w:sz="1"/>
            </w:tcBorders>
          </w:tcPr>
          <w:p>
            <w:r>
              <w:t xml:space="preserve">Value elevated → precious/honored</w:t>
            </w:r>
          </w:p>
        </w:tc>
      </w:tr>
      <w:tr>
        <w:tc>
          <w:tcPr>
            <w:tcW w:type="dxa" w:w="1500"/>
            <w:tcBorders>
              <w:top w:val="single" w:color="999999" w:sz="1"/>
              <w:left w:val="single" w:color="999999" w:sz="1"/>
              <w:bottom w:val="single" w:color="999999" w:sz="1"/>
              <w:right w:val="single" w:color="999999" w:sz="1"/>
            </w:tcBorders>
          </w:tcPr>
          <w:p>
            <w:r>
              <w:t xml:space="preserve">賤</w:t>
            </w:r>
          </w:p>
        </w:tc>
        <w:tc>
          <w:tcPr>
            <w:tcW w:type="dxa" w:w="1200"/>
            <w:tcBorders>
              <w:top w:val="single" w:color="999999" w:sz="1"/>
              <w:left w:val="single" w:color="999999" w:sz="1"/>
              <w:bottom w:val="single" w:color="999999" w:sz="1"/>
              <w:right w:val="single" w:color="999999" w:sz="1"/>
            </w:tcBorders>
          </w:tcPr>
          <w:p>
            <w:r>
              <w:t xml:space="preserve">jiàn</w:t>
            </w:r>
          </w:p>
        </w:tc>
        <w:tc>
          <w:tcPr>
            <w:tcW w:type="dxa" w:w="2000"/>
            <w:tcBorders>
              <w:top w:val="single" w:color="999999" w:sz="1"/>
              <w:left w:val="single" w:color="999999" w:sz="1"/>
              <w:bottom w:val="single" w:color="999999" w:sz="1"/>
              <w:right w:val="single" w:color="999999" w:sz="1"/>
            </w:tcBorders>
          </w:tcPr>
          <w:p>
            <w:r>
              <w:t xml:space="preserve">戔 (small)</w:t>
            </w:r>
          </w:p>
        </w:tc>
        <w:tc>
          <w:tcPr>
            <w:tcW w:type="dxa" w:w="4660"/>
            <w:tcBorders>
              <w:top w:val="single" w:color="999999" w:sz="1"/>
              <w:left w:val="single" w:color="999999" w:sz="1"/>
              <w:bottom w:val="single" w:color="999999" w:sz="1"/>
              <w:right w:val="single" w:color="999999" w:sz="1"/>
            </w:tcBorders>
          </w:tcPr>
          <w:p>
            <w:r>
              <w:t xml:space="preserve">Value diminished → cheap/lowly</w:t>
            </w:r>
          </w:p>
        </w:tc>
      </w:tr>
      <w:tr>
        <w:tc>
          <w:tcPr>
            <w:tcW w:type="dxa" w:w="1500"/>
            <w:tcBorders>
              <w:top w:val="single" w:color="999999" w:sz="1"/>
              <w:left w:val="single" w:color="999999" w:sz="1"/>
              <w:bottom w:val="single" w:color="999999" w:sz="1"/>
              <w:right w:val="single" w:color="999999" w:sz="1"/>
            </w:tcBorders>
          </w:tcPr>
          <w:p>
            <w:r>
              <w:t xml:space="preserve">貨</w:t>
            </w:r>
          </w:p>
        </w:tc>
        <w:tc>
          <w:tcPr>
            <w:tcW w:type="dxa" w:w="1200"/>
            <w:tcBorders>
              <w:top w:val="single" w:color="999999" w:sz="1"/>
              <w:left w:val="single" w:color="999999" w:sz="1"/>
              <w:bottom w:val="single" w:color="999999" w:sz="1"/>
              <w:right w:val="single" w:color="999999" w:sz="1"/>
            </w:tcBorders>
          </w:tcPr>
          <w:p>
            <w:r>
              <w:t xml:space="preserve">huò</w:t>
            </w:r>
          </w:p>
        </w:tc>
        <w:tc>
          <w:tcPr>
            <w:tcW w:type="dxa" w:w="2000"/>
            <w:tcBorders>
              <w:top w:val="single" w:color="999999" w:sz="1"/>
              <w:left w:val="single" w:color="999999" w:sz="1"/>
              <w:bottom w:val="single" w:color="999999" w:sz="1"/>
              <w:right w:val="single" w:color="999999" w:sz="1"/>
            </w:tcBorders>
          </w:tcPr>
          <w:p>
            <w:r>
              <w:t xml:space="preserve">化 (change)</w:t>
            </w:r>
          </w:p>
        </w:tc>
        <w:tc>
          <w:tcPr>
            <w:tcW w:type="dxa" w:w="4660"/>
            <w:tcBorders>
              <w:top w:val="single" w:color="999999" w:sz="1"/>
              <w:left w:val="single" w:color="999999" w:sz="1"/>
              <w:bottom w:val="single" w:color="999999" w:sz="1"/>
              <w:right w:val="single" w:color="999999" w:sz="1"/>
            </w:tcBorders>
          </w:tcPr>
          <w:p>
            <w:r>
              <w:t xml:space="preserve">Value changed → goods/merchandise</w:t>
            </w:r>
          </w:p>
        </w:tc>
      </w:tr>
      <w:tr>
        <w:tc>
          <w:tcPr>
            <w:tcW w:type="dxa" w:w="1500"/>
            <w:tcBorders>
              <w:top w:val="single" w:color="999999" w:sz="1"/>
              <w:left w:val="single" w:color="999999" w:sz="1"/>
              <w:bottom w:val="single" w:color="999999" w:sz="1"/>
              <w:right w:val="single" w:color="999999" w:sz="1"/>
            </w:tcBorders>
          </w:tcPr>
          <w:p>
            <w:r>
              <w:t xml:space="preserve">賊</w:t>
            </w:r>
          </w:p>
        </w:tc>
        <w:tc>
          <w:tcPr>
            <w:tcW w:type="dxa" w:w="1200"/>
            <w:tcBorders>
              <w:top w:val="single" w:color="999999" w:sz="1"/>
              <w:left w:val="single" w:color="999999" w:sz="1"/>
              <w:bottom w:val="single" w:color="999999" w:sz="1"/>
              <w:right w:val="single" w:color="999999" w:sz="1"/>
            </w:tcBorders>
          </w:tcPr>
          <w:p>
            <w:r>
              <w:t xml:space="preserve">zéi</w:t>
            </w:r>
          </w:p>
        </w:tc>
        <w:tc>
          <w:tcPr>
            <w:tcW w:type="dxa" w:w="2000"/>
            <w:tcBorders>
              <w:top w:val="single" w:color="999999" w:sz="1"/>
              <w:left w:val="single" w:color="999999" w:sz="1"/>
              <w:bottom w:val="single" w:color="999999" w:sz="1"/>
              <w:right w:val="single" w:color="999999" w:sz="1"/>
            </w:tcBorders>
          </w:tcPr>
          <w:p>
            <w:r>
              <w:t xml:space="preserve">戎 (weapons)</w:t>
            </w:r>
          </w:p>
        </w:tc>
        <w:tc>
          <w:tcPr>
            <w:tcW w:type="dxa" w:w="4660"/>
            <w:tcBorders>
              <w:top w:val="single" w:color="999999" w:sz="1"/>
              <w:left w:val="single" w:color="999999" w:sz="1"/>
              <w:bottom w:val="single" w:color="999999" w:sz="1"/>
              <w:right w:val="single" w:color="999999" w:sz="1"/>
            </w:tcBorders>
          </w:tcPr>
          <w:p>
            <w:r>
              <w:t xml:space="preserve">Value weaponized → thief/traitor</w:t>
            </w:r>
          </w:p>
        </w:tc>
      </w:tr>
    </w:tbl>
    <w:p>
      <w:pPr>
        <w:spacing w:after="200"/>
      </w:pPr>
    </w:p>
    <w:p>
      <w:pPr>
        <w:pStyle w:val="Heading2"/>
      </w:pPr>
      <w:r>
        <w:t xml:space="preserve">The 木 (mù) Wood Substrate</w:t>
      </w:r>
    </w:p>
    <w:p>
      <w:pPr>
        <w:spacing w:after="200"/>
      </w:pPr>
      <w:r>
        <w:t xml:space="preserve">The 木 radical defines the domain of organic structure and growth patterns. Characters in this family encode concepts of origin (roots), extension (tips), and, most critically, potential. The character 朴 (pǔ), the "uncarved block," represents pure potential before distinctions are imposed—a foundational concept for the text's emphasis on returning to the source.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000"/>
        <w:gridCol w:w="4660"/>
      </w:tblGrid>
      <w:tr>
        <w:trPr>
          <w:tblHeader/>
        </w:trPr>
        <w:tc>
          <w:tcPr>
            <w:tcW w:type="dxa" w:w="1500"/>
            <w:tcBorders>
              <w:top w:val="single" w:color="999999" w:sz="1"/>
              <w:left w:val="single" w:color="999999" w:sz="1"/>
              <w:bottom w:val="single" w:color="999999" w:sz="1"/>
              <w:right w:val="single" w:color="999999" w:sz="1"/>
            </w:tcBorders>
            <w:shd w:fill="E8E8E8" w:val="clear"/>
          </w:tcPr>
          <w:p>
            <w:r>
              <w:rPr>
                <w:b/>
                <w:bCs/>
              </w:rPr>
              <w:t xml:space="preserve">Character</w:t>
            </w:r>
          </w:p>
        </w:tc>
        <w:tc>
          <w:tcPr>
            <w:tcW w:type="dxa" w:w="1200"/>
            <w:tcBorders>
              <w:top w:val="single" w:color="999999" w:sz="1"/>
              <w:left w:val="single" w:color="999999" w:sz="1"/>
              <w:bottom w:val="single" w:color="999999" w:sz="1"/>
              <w:right w:val="single" w:color="999999" w:sz="1"/>
            </w:tcBorders>
            <w:shd w:fill="E8E8E8" w:val="clear"/>
          </w:tcPr>
          <w:p>
            <w:r>
              <w:rPr>
                <w:b/>
                <w:bCs/>
              </w:rPr>
              <w:t xml:space="preserve">Pinyin</w:t>
            </w:r>
          </w:p>
        </w:tc>
        <w:tc>
          <w:tcPr>
            <w:tcW w:type="dxa" w:w="2000"/>
            <w:tcBorders>
              <w:top w:val="single" w:color="999999" w:sz="1"/>
              <w:left w:val="single" w:color="999999" w:sz="1"/>
              <w:bottom w:val="single" w:color="999999" w:sz="1"/>
              <w:right w:val="single" w:color="999999" w:sz="1"/>
            </w:tcBorders>
            <w:shd w:fill="E8E8E8" w:val="clear"/>
          </w:tcPr>
          <w:p>
            <w:r>
              <w:rPr>
                <w:b/>
                <w:bCs/>
              </w:rPr>
              <w:t xml:space="preserve">+ Operator</w:t>
            </w:r>
          </w:p>
        </w:tc>
        <w:tc>
          <w:tcPr>
            <w:tcW w:type="dxa" w:w="4660"/>
            <w:tcBorders>
              <w:top w:val="single" w:color="999999" w:sz="1"/>
              <w:left w:val="single" w:color="999999" w:sz="1"/>
              <w:bottom w:val="single" w:color="999999" w:sz="1"/>
              <w:right w:val="single" w:color="999999" w:sz="1"/>
            </w:tcBorders>
            <w:shd w:fill="E8E8E8" w:val="clear"/>
          </w:tcPr>
          <w:p>
            <w:r>
              <w:rPr>
                <w:b/>
                <w:bCs/>
              </w:rPr>
              <w:t xml:space="preserve">Transformation</w:t>
            </w:r>
          </w:p>
        </w:tc>
      </w:tr>
      <w:tr>
        <w:tc>
          <w:tcPr>
            <w:tcW w:type="dxa" w:w="1500"/>
            <w:tcBorders>
              <w:top w:val="single" w:color="999999" w:sz="1"/>
              <w:left w:val="single" w:color="999999" w:sz="1"/>
              <w:bottom w:val="single" w:color="999999" w:sz="1"/>
              <w:right w:val="single" w:color="999999" w:sz="1"/>
            </w:tcBorders>
          </w:tcPr>
          <w:p>
            <w:r>
              <w:t xml:space="preserve">本</w:t>
            </w:r>
          </w:p>
        </w:tc>
        <w:tc>
          <w:tcPr>
            <w:tcW w:type="dxa" w:w="1200"/>
            <w:tcBorders>
              <w:top w:val="single" w:color="999999" w:sz="1"/>
              <w:left w:val="single" w:color="999999" w:sz="1"/>
              <w:bottom w:val="single" w:color="999999" w:sz="1"/>
              <w:right w:val="single" w:color="999999" w:sz="1"/>
            </w:tcBorders>
          </w:tcPr>
          <w:p>
            <w:r>
              <w:t xml:space="preserve">běn</w:t>
            </w:r>
          </w:p>
        </w:tc>
        <w:tc>
          <w:tcPr>
            <w:tcW w:type="dxa" w:w="2000"/>
            <w:tcBorders>
              <w:top w:val="single" w:color="999999" w:sz="1"/>
              <w:left w:val="single" w:color="999999" w:sz="1"/>
              <w:bottom w:val="single" w:color="999999" w:sz="1"/>
              <w:right w:val="single" w:color="999999" w:sz="1"/>
            </w:tcBorders>
          </w:tcPr>
          <w:p>
            <w:r>
              <w:t xml:space="preserve">(root mark)</w:t>
            </w:r>
          </w:p>
        </w:tc>
        <w:tc>
          <w:tcPr>
            <w:tcW w:type="dxa" w:w="4660"/>
            <w:tcBorders>
              <w:top w:val="single" w:color="999999" w:sz="1"/>
              <w:left w:val="single" w:color="999999" w:sz="1"/>
              <w:bottom w:val="single" w:color="999999" w:sz="1"/>
              <w:right w:val="single" w:color="999999" w:sz="1"/>
            </w:tcBorders>
          </w:tcPr>
          <w:p>
            <w:r>
              <w:t xml:space="preserve">Root → origin, source, what grounds</w:t>
            </w:r>
          </w:p>
        </w:tc>
      </w:tr>
      <w:tr>
        <w:tc>
          <w:tcPr>
            <w:tcW w:type="dxa" w:w="1500"/>
            <w:tcBorders>
              <w:top w:val="single" w:color="999999" w:sz="1"/>
              <w:left w:val="single" w:color="999999" w:sz="1"/>
              <w:bottom w:val="single" w:color="999999" w:sz="1"/>
              <w:right w:val="single" w:color="999999" w:sz="1"/>
            </w:tcBorders>
          </w:tcPr>
          <w:p>
            <w:r>
              <w:t xml:space="preserve">末</w:t>
            </w:r>
          </w:p>
        </w:tc>
        <w:tc>
          <w:tcPr>
            <w:tcW w:type="dxa" w:w="1200"/>
            <w:tcBorders>
              <w:top w:val="single" w:color="999999" w:sz="1"/>
              <w:left w:val="single" w:color="999999" w:sz="1"/>
              <w:bottom w:val="single" w:color="999999" w:sz="1"/>
              <w:right w:val="single" w:color="999999" w:sz="1"/>
            </w:tcBorders>
          </w:tcPr>
          <w:p>
            <w:r>
              <w:t xml:space="preserve">mò</w:t>
            </w:r>
          </w:p>
        </w:tc>
        <w:tc>
          <w:tcPr>
            <w:tcW w:type="dxa" w:w="2000"/>
            <w:tcBorders>
              <w:top w:val="single" w:color="999999" w:sz="1"/>
              <w:left w:val="single" w:color="999999" w:sz="1"/>
              <w:bottom w:val="single" w:color="999999" w:sz="1"/>
              <w:right w:val="single" w:color="999999" w:sz="1"/>
            </w:tcBorders>
          </w:tcPr>
          <w:p>
            <w:r>
              <w:t xml:space="preserve">(tip mark)</w:t>
            </w:r>
          </w:p>
        </w:tc>
        <w:tc>
          <w:tcPr>
            <w:tcW w:type="dxa" w:w="4660"/>
            <w:tcBorders>
              <w:top w:val="single" w:color="999999" w:sz="1"/>
              <w:left w:val="single" w:color="999999" w:sz="1"/>
              <w:bottom w:val="single" w:color="999999" w:sz="1"/>
              <w:right w:val="single" w:color="999999" w:sz="1"/>
            </w:tcBorders>
          </w:tcPr>
          <w:p>
            <w:r>
              <w:t xml:space="preserve">Tip → end, surface, what extends</w:t>
            </w:r>
          </w:p>
        </w:tc>
      </w:tr>
      <w:tr>
        <w:tc>
          <w:tcPr>
            <w:tcW w:type="dxa" w:w="1500"/>
            <w:tcBorders>
              <w:top w:val="single" w:color="999999" w:sz="1"/>
              <w:left w:val="single" w:color="999999" w:sz="1"/>
              <w:bottom w:val="single" w:color="999999" w:sz="1"/>
              <w:right w:val="single" w:color="999999" w:sz="1"/>
            </w:tcBorders>
          </w:tcPr>
          <w:p>
            <w:r>
              <w:t xml:space="preserve">朴/樸</w:t>
            </w:r>
          </w:p>
        </w:tc>
        <w:tc>
          <w:tcPr>
            <w:tcW w:type="dxa" w:w="1200"/>
            <w:tcBorders>
              <w:top w:val="single" w:color="999999" w:sz="1"/>
              <w:left w:val="single" w:color="999999" w:sz="1"/>
              <w:bottom w:val="single" w:color="999999" w:sz="1"/>
              <w:right w:val="single" w:color="999999" w:sz="1"/>
            </w:tcBorders>
          </w:tcPr>
          <w:p>
            <w:r>
              <w:t xml:space="preserve">pǔ</w:t>
            </w:r>
          </w:p>
        </w:tc>
        <w:tc>
          <w:tcPr>
            <w:tcW w:type="dxa" w:w="2000"/>
            <w:tcBorders>
              <w:top w:val="single" w:color="999999" w:sz="1"/>
              <w:left w:val="single" w:color="999999" w:sz="1"/>
              <w:bottom w:val="single" w:color="999999" w:sz="1"/>
              <w:right w:val="single" w:color="999999" w:sz="1"/>
            </w:tcBorders>
          </w:tcPr>
          <w:p>
            <w:r>
              <w:t xml:space="preserve">(uncarved)</w:t>
            </w:r>
          </w:p>
        </w:tc>
        <w:tc>
          <w:tcPr>
            <w:tcW w:type="dxa" w:w="4660"/>
            <w:tcBorders>
              <w:top w:val="single" w:color="999999" w:sz="1"/>
              <w:left w:val="single" w:color="999999" w:sz="1"/>
              <w:bottom w:val="single" w:color="999999" w:sz="1"/>
              <w:right w:val="single" w:color="999999" w:sz="1"/>
            </w:tcBorders>
          </w:tcPr>
          <w:p>
            <w:r>
              <w:t xml:space="preserve">Uncarved block → simplicity before distinction</w:t>
            </w:r>
          </w:p>
        </w:tc>
      </w:tr>
      <w:tr>
        <w:tc>
          <w:tcPr>
            <w:tcW w:type="dxa" w:w="1500"/>
            <w:tcBorders>
              <w:top w:val="single" w:color="999999" w:sz="1"/>
              <w:left w:val="single" w:color="999999" w:sz="1"/>
              <w:bottom w:val="single" w:color="999999" w:sz="1"/>
              <w:right w:val="single" w:color="999999" w:sz="1"/>
            </w:tcBorders>
          </w:tcPr>
          <w:p>
            <w:r>
              <w:t xml:space="preserve">根</w:t>
            </w:r>
          </w:p>
        </w:tc>
        <w:tc>
          <w:tcPr>
            <w:tcW w:type="dxa" w:w="1200"/>
            <w:tcBorders>
              <w:top w:val="single" w:color="999999" w:sz="1"/>
              <w:left w:val="single" w:color="999999" w:sz="1"/>
              <w:bottom w:val="single" w:color="999999" w:sz="1"/>
              <w:right w:val="single" w:color="999999" w:sz="1"/>
            </w:tcBorders>
          </w:tcPr>
          <w:p>
            <w:r>
              <w:t xml:space="preserve">gēn</w:t>
            </w:r>
          </w:p>
        </w:tc>
        <w:tc>
          <w:tcPr>
            <w:tcW w:type="dxa" w:w="2000"/>
            <w:tcBorders>
              <w:top w:val="single" w:color="999999" w:sz="1"/>
              <w:left w:val="single" w:color="999999" w:sz="1"/>
              <w:bottom w:val="single" w:color="999999" w:sz="1"/>
              <w:right w:val="single" w:color="999999" w:sz="1"/>
            </w:tcBorders>
          </w:tcPr>
          <w:p>
            <w:r>
              <w:t xml:space="preserve">(limit)</w:t>
            </w:r>
          </w:p>
        </w:tc>
        <w:tc>
          <w:tcPr>
            <w:tcW w:type="dxa" w:w="4660"/>
            <w:tcBorders>
              <w:top w:val="single" w:color="999999" w:sz="1"/>
              <w:left w:val="single" w:color="999999" w:sz="1"/>
              <w:bottom w:val="single" w:color="999999" w:sz="1"/>
              <w:right w:val="single" w:color="999999" w:sz="1"/>
            </w:tcBorders>
          </w:tcPr>
          <w:p>
            <w:r>
              <w:t xml:space="preserve">Root → what anchors, what grounds</w:t>
            </w:r>
          </w:p>
        </w:tc>
      </w:tr>
      <w:tr>
        <w:tc>
          <w:tcPr>
            <w:tcW w:type="dxa" w:w="1500"/>
            <w:tcBorders>
              <w:top w:val="single" w:color="999999" w:sz="1"/>
              <w:left w:val="single" w:color="999999" w:sz="1"/>
              <w:bottom w:val="single" w:color="999999" w:sz="1"/>
              <w:right w:val="single" w:color="999999" w:sz="1"/>
            </w:tcBorders>
          </w:tcPr>
          <w:p>
            <w:r>
              <w:t xml:space="preserve">相</w:t>
            </w:r>
          </w:p>
        </w:tc>
        <w:tc>
          <w:tcPr>
            <w:tcW w:type="dxa" w:w="1200"/>
            <w:tcBorders>
              <w:top w:val="single" w:color="999999" w:sz="1"/>
              <w:left w:val="single" w:color="999999" w:sz="1"/>
              <w:bottom w:val="single" w:color="999999" w:sz="1"/>
              <w:right w:val="single" w:color="999999" w:sz="1"/>
            </w:tcBorders>
          </w:tcPr>
          <w:p>
            <w:r>
              <w:t xml:space="preserve">xiāng</w:t>
            </w:r>
          </w:p>
        </w:tc>
        <w:tc>
          <w:tcPr>
            <w:tcW w:type="dxa" w:w="2000"/>
            <w:tcBorders>
              <w:top w:val="single" w:color="999999" w:sz="1"/>
              <w:left w:val="single" w:color="999999" w:sz="1"/>
              <w:bottom w:val="single" w:color="999999" w:sz="1"/>
              <w:right w:val="single" w:color="999999" w:sz="1"/>
            </w:tcBorders>
          </w:tcPr>
          <w:p>
            <w:r>
              <w:t xml:space="preserve">(eye)</w:t>
            </w:r>
          </w:p>
        </w:tc>
        <w:tc>
          <w:tcPr>
            <w:tcW w:type="dxa" w:w="4660"/>
            <w:tcBorders>
              <w:top w:val="single" w:color="999999" w:sz="1"/>
              <w:left w:val="single" w:color="999999" w:sz="1"/>
              <w:bottom w:val="single" w:color="999999" w:sz="1"/>
              <w:right w:val="single" w:color="999999" w:sz="1"/>
            </w:tcBorders>
          </w:tcPr>
          <w:p>
            <w:r>
              <w:t xml:space="preserve">Wood + eye → mutual seeing/each other</w:t>
            </w:r>
          </w:p>
        </w:tc>
      </w:tr>
    </w:tbl>
    <w:p>
      <w:pPr>
        <w:spacing w:after="200"/>
      </w:pPr>
    </w:p>
    <w:p>
      <w:pPr>
        <w:pStyle w:val="Heading2"/>
      </w:pPr>
      <w:r>
        <w:t xml:space="preserve">Substrate Grammar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999999" w:sz="1"/>
              <w:left w:val="single" w:color="999999" w:sz="1"/>
              <w:bottom w:val="single" w:color="999999" w:sz="1"/>
              <w:right w:val="single" w:color="999999" w:sz="1"/>
            </w:tcBorders>
            <w:shd w:fill="E8E8E8" w:val="clear"/>
          </w:tcPr>
          <w:p>
            <w:r>
              <w:rPr>
                <w:b/>
                <w:bCs/>
              </w:rPr>
              <w:t xml:space="preserve">Substrate</w:t>
            </w:r>
          </w:p>
        </w:tc>
        <w:tc>
          <w:tcPr>
            <w:tcW w:type="dxa" w:w="3430"/>
            <w:tcBorders>
              <w:top w:val="single" w:color="999999" w:sz="1"/>
              <w:left w:val="single" w:color="999999" w:sz="1"/>
              <w:bottom w:val="single" w:color="999999" w:sz="1"/>
              <w:right w:val="single" w:color="999999" w:sz="1"/>
            </w:tcBorders>
            <w:shd w:fill="E8E8E8" w:val="clear"/>
          </w:tcPr>
          <w:p>
            <w:r>
              <w:rPr>
                <w:b/>
                <w:bCs/>
              </w:rPr>
              <w:t xml:space="preserve">Domain</w:t>
            </w:r>
          </w:p>
        </w:tc>
        <w:tc>
          <w:tcPr>
            <w:tcW w:type="dxa" w:w="3430"/>
            <w:tcBorders>
              <w:top w:val="single" w:color="999999" w:sz="1"/>
              <w:left w:val="single" w:color="999999" w:sz="1"/>
              <w:bottom w:val="single" w:color="999999" w:sz="1"/>
              <w:right w:val="single" w:color="999999" w:sz="1"/>
            </w:tcBorders>
            <w:shd w:fill="E8E8E8" w:val="clear"/>
          </w:tcPr>
          <w:p>
            <w:r>
              <w:rPr>
                <w:b/>
                <w:bCs/>
              </w:rPr>
              <w:t xml:space="preserve">Key Transformation</w:t>
            </w:r>
          </w:p>
        </w:tc>
      </w:tr>
      <w:tr>
        <w:tc>
          <w:tcPr>
            <w:tcW w:type="dxa" w:w="2500"/>
            <w:tcBorders>
              <w:top w:val="single" w:color="999999" w:sz="1"/>
              <w:left w:val="single" w:color="999999" w:sz="1"/>
              <w:bottom w:val="single" w:color="999999" w:sz="1"/>
              <w:right w:val="single" w:color="999999" w:sz="1"/>
            </w:tcBorders>
          </w:tcPr>
          <w:p>
            <w:r>
              <w:t xml:space="preserve">禾 (grain)</w:t>
            </w:r>
          </w:p>
        </w:tc>
        <w:tc>
          <w:tcPr>
            <w:tcW w:type="dxa" w:w="3430"/>
            <w:tcBorders>
              <w:top w:val="single" w:color="999999" w:sz="1"/>
              <w:left w:val="single" w:color="999999" w:sz="1"/>
              <w:bottom w:val="single" w:color="999999" w:sz="1"/>
              <w:right w:val="single" w:color="999999" w:sz="1"/>
            </w:tcBorders>
          </w:tcPr>
          <w:p>
            <w:r>
              <w:t xml:space="preserve">Discrete resources</w:t>
            </w:r>
          </w:p>
        </w:tc>
        <w:tc>
          <w:tcPr>
            <w:tcW w:type="dxa" w:w="3430"/>
            <w:tcBorders>
              <w:top w:val="single" w:color="999999" w:sz="1"/>
              <w:left w:val="single" w:color="999999" w:sz="1"/>
              <w:bottom w:val="single" w:color="999999" w:sz="1"/>
              <w:right w:val="single" w:color="999999" w:sz="1"/>
            </w:tcBorders>
          </w:tcPr>
          <w:p>
            <w:r>
              <w:t xml:space="preserve">利 (harvest through π-sweep)</w:t>
            </w:r>
          </w:p>
        </w:tc>
      </w:tr>
      <w:tr>
        <w:tc>
          <w:tcPr>
            <w:tcW w:type="dxa" w:w="2500"/>
            <w:tcBorders>
              <w:top w:val="single" w:color="999999" w:sz="1"/>
              <w:left w:val="single" w:color="999999" w:sz="1"/>
              <w:bottom w:val="single" w:color="999999" w:sz="1"/>
              <w:right w:val="single" w:color="999999" w:sz="1"/>
            </w:tcBorders>
          </w:tcPr>
          <w:p>
            <w:r>
              <w:t xml:space="preserve">氵 (water)</w:t>
            </w:r>
          </w:p>
        </w:tc>
        <w:tc>
          <w:tcPr>
            <w:tcW w:type="dxa" w:w="3430"/>
            <w:tcBorders>
              <w:top w:val="single" w:color="999999" w:sz="1"/>
              <w:left w:val="single" w:color="999999" w:sz="1"/>
              <w:bottom w:val="single" w:color="999999" w:sz="1"/>
              <w:right w:val="single" w:color="999999" w:sz="1"/>
            </w:tcBorders>
          </w:tcPr>
          <w:p>
            <w:r>
              <w:t xml:space="preserve">Continuous flow</w:t>
            </w:r>
          </w:p>
        </w:tc>
        <w:tc>
          <w:tcPr>
            <w:tcW w:type="dxa" w:w="3430"/>
            <w:tcBorders>
              <w:top w:val="single" w:color="999999" w:sz="1"/>
              <w:left w:val="single" w:color="999999" w:sz="1"/>
              <w:bottom w:val="single" w:color="999999" w:sz="1"/>
              <w:right w:val="single" w:color="999999" w:sz="1"/>
            </w:tcBorders>
          </w:tcPr>
          <w:p>
            <w:r>
              <w:t xml:space="preserve">治 (governance through channeling)</w:t>
            </w:r>
          </w:p>
        </w:tc>
      </w:tr>
      <w:tr>
        <w:tc>
          <w:tcPr>
            <w:tcW w:type="dxa" w:w="2500"/>
            <w:tcBorders>
              <w:top w:val="single" w:color="999999" w:sz="1"/>
              <w:left w:val="single" w:color="999999" w:sz="1"/>
              <w:bottom w:val="single" w:color="999999" w:sz="1"/>
              <w:right w:val="single" w:color="999999" w:sz="1"/>
            </w:tcBorders>
          </w:tcPr>
          <w:p>
            <w:r>
              <w:t xml:space="preserve">貝 (value)</w:t>
            </w:r>
          </w:p>
        </w:tc>
        <w:tc>
          <w:tcPr>
            <w:tcW w:type="dxa" w:w="3430"/>
            <w:tcBorders>
              <w:top w:val="single" w:color="999999" w:sz="1"/>
              <w:left w:val="single" w:color="999999" w:sz="1"/>
              <w:bottom w:val="single" w:color="999999" w:sz="1"/>
              <w:right w:val="single" w:color="999999" w:sz="1"/>
            </w:tcBorders>
          </w:tcPr>
          <w:p>
            <w:r>
              <w:t xml:space="preserve">Exchange worth</w:t>
            </w:r>
          </w:p>
        </w:tc>
        <w:tc>
          <w:tcPr>
            <w:tcW w:type="dxa" w:w="3430"/>
            <w:tcBorders>
              <w:top w:val="single" w:color="999999" w:sz="1"/>
              <w:left w:val="single" w:color="999999" w:sz="1"/>
              <w:bottom w:val="single" w:color="999999" w:sz="1"/>
              <w:right w:val="single" w:color="999999" w:sz="1"/>
            </w:tcBorders>
          </w:tcPr>
          <w:p>
            <w:r>
              <w:t xml:space="preserve">則 (consequent pattern)</w:t>
            </w:r>
          </w:p>
        </w:tc>
      </w:tr>
      <w:tr>
        <w:tc>
          <w:tcPr>
            <w:tcW w:type="dxa" w:w="2500"/>
            <w:tcBorders>
              <w:top w:val="single" w:color="999999" w:sz="1"/>
              <w:left w:val="single" w:color="999999" w:sz="1"/>
              <w:bottom w:val="single" w:color="999999" w:sz="1"/>
              <w:right w:val="single" w:color="999999" w:sz="1"/>
            </w:tcBorders>
          </w:tcPr>
          <w:p>
            <w:r>
              <w:t xml:space="preserve">木 (wood)</w:t>
            </w:r>
          </w:p>
        </w:tc>
        <w:tc>
          <w:tcPr>
            <w:tcW w:type="dxa" w:w="3430"/>
            <w:tcBorders>
              <w:top w:val="single" w:color="999999" w:sz="1"/>
              <w:left w:val="single" w:color="999999" w:sz="1"/>
              <w:bottom w:val="single" w:color="999999" w:sz="1"/>
              <w:right w:val="single" w:color="999999" w:sz="1"/>
            </w:tcBorders>
          </w:tcPr>
          <w:p>
            <w:r>
              <w:t xml:space="preserve">Organic structure</w:t>
            </w:r>
          </w:p>
        </w:tc>
        <w:tc>
          <w:tcPr>
            <w:tcW w:type="dxa" w:w="3430"/>
            <w:tcBorders>
              <w:top w:val="single" w:color="999999" w:sz="1"/>
              <w:left w:val="single" w:color="999999" w:sz="1"/>
              <w:bottom w:val="single" w:color="999999" w:sz="1"/>
              <w:right w:val="single" w:color="999999" w:sz="1"/>
            </w:tcBorders>
          </w:tcPr>
          <w:p>
            <w:r>
              <w:t xml:space="preserve">朴 (uncarved potential)</w:t>
            </w:r>
          </w:p>
        </w:tc>
      </w:tr>
    </w:tbl>
    <w:p>
      <w:pPr>
        <w:spacing w:after="200"/>
      </w:pPr>
    </w:p>
    <w:p>
      <w:pPr>
        <w:pStyle w:val="Heading2"/>
      </w:pPr>
      <w:r>
        <w:t xml:space="preserve">Validation</w:t>
      </w:r>
    </w:p>
    <w:p>
      <w:pPr>
        <w:spacing w:after="200"/>
      </w:pPr>
      <w:r>
        <w:t xml:space="preserve">If this grammar is functional, it should be predictive. We can test this by applying an operator to different substrates and observing whether the resulting character (or its absence) makes structural sense.</w:t>
      </w:r>
    </w:p>
    <w:p>
      <w:pPr>
        <w:spacing w:after="200"/>
      </w:pPr>
      <w:r>
        <w:rPr>
          <w:b/>
          <w:bCs/>
        </w:rPr>
        <w:t xml:space="preserve">Prediction Test 1: </w:t>
      </w:r>
      <w:r>
        <w:t xml:space="preserve">What can the 刂 (blade) operator usefully act on? On 禾 (grain) → 利 (lì): It produces the harvest. This makes sense. On 貝 (value) → 則 (zé): It cuts value into distinct rules. This makes sense. On 氵 (water) → ?: You cannot scythe water. The operation is nonsensical, and indeed, no such character exists. The prediction is confirmed.</w:t>
      </w:r>
    </w:p>
    <w:p>
      <w:pPr>
        <w:spacing w:after="200"/>
      </w:pPr>
      <w:r>
        <w:rPr>
          <w:b/>
          <w:bCs/>
        </w:rPr>
        <w:t xml:space="preserve">Prediction Test 2: </w:t>
      </w:r>
      <w:r>
        <w:t xml:space="preserve">What can the 口 (opening) operator usefully distribute? On 禾 (grain) → 和 (hé): It distributes grain, creating harmony. This makes sense. On 夕 (darkness) → 名 (míng): It articulates undifferentiated darkness into a name. This makes sense. On 氵 (water) → ?: Water finds its path naturally and does not require a created opening to flow. The operation is nonsensical, and no such character exists. The prediction is confirmed.</w:t>
      </w:r>
    </w:p>
    <w:p>
      <w:pPr>
        <w:spacing w:after="200"/>
      </w:pPr>
      <w:r>
        <w:t xml:space="preserve">The grammar is not arbitrary; it follows the physical logic of its components. This systematic grammar provides the linguistic foundation for interpreting the larger structural arguments of the </w:t>
      </w:r>
      <w:r>
        <w:rPr>
          <w:i/>
          <w:iCs/>
        </w:rPr>
        <w:t xml:space="preserve">Dao De Jing</w:t>
      </w:r>
      <w:r>
        <w:t xml:space="preserve">, beginning with the coordinate system established in its opening chapter.</w:t>
      </w:r>
    </w:p>
    <w:p>
      <w:pPr>
        <w:pStyle w:val="Heading1"/>
      </w:pPr>
      <w:r>
        <w:t xml:space="preserve">4. Part II: The Coordinate System of Reality—Deconstructing Chapter 1</w:t>
      </w:r>
    </w:p>
    <w:p>
      <w:pPr>
        <w:spacing w:after="200"/>
      </w:pPr>
      <w:r>
        <w:t xml:space="preserve">Beyond the grammar of individual characters, the </w:t>
      </w:r>
      <w:r>
        <w:rPr>
          <w:i/>
          <w:iCs/>
        </w:rPr>
        <w:t xml:space="preserve">Dao De Jing</w:t>
      </w:r>
      <w:r>
        <w:t xml:space="preserve"> establishes a multi-axial coordinate system for describing reality. Chapter 1, often read as a mystical overture on the ineffable nature of the Dao, is revealed through structural analysis to be a precise methodological guide to this system. It does not obscure meaning; it provides the operational framework for all subsequent chapters.</w:t>
      </w:r>
    </w:p>
    <w:p>
      <w:pPr>
        <w:pStyle w:val="Heading2"/>
      </w:pPr>
      <w:r>
        <w:t xml:space="preserve">Analysis of Axes</w:t>
      </w:r>
    </w:p>
    <w:p>
      <w:pPr>
        <w:spacing w:after="200"/>
      </w:pPr>
      <w:r>
        <w:t xml:space="preserve">The chapter defines two primary axes that function not as philosophical dualities but as structural coordinates for observation.</w:t>
      </w:r>
    </w:p>
    <w:p>
      <w:pPr>
        <w:spacing w:after="200"/>
      </w:pPr>
      <w:r>
        <w:rPr>
          <w:b/>
          <w:bCs/>
        </w:rPr>
        <w:t xml:space="preserve">The 可/常 (kě/cháng) Axis: </w:t>
      </w:r>
      <w:r>
        <w:t xml:space="preserve">This is the axis of expressibility and frame-dependence. 可 (kě) represents the expressible, frame-dependent view—the pattern as it appears when "hanging" or unfolded in a specific context. 常 (cháng) represents the invariant, frame-independent pattern—the complete structure "packed flat," containing all potential expressions but not yet unfolded. The relationship is analogous to the North Star: its apparent position in the sky (可) depends on the observer's location, but its relationship to Earth's axis of rotation (常) is invariant. Clarity, the text suggests, comes from seeing the 常 pattern that remains constant across all 可 frames.</w:t>
      </w:r>
    </w:p>
    <w:p>
      <w:pPr>
        <w:spacing w:after="200"/>
      </w:pPr>
      <w:r>
        <w:rPr>
          <w:b/>
          <w:bCs/>
        </w:rPr>
        <w:t xml:space="preserve">The 無/有 (wú/yǒu) Axis: </w:t>
      </w:r>
      <w:r>
        <w:t xml:space="preserve">This is the axis of manifestation. Chapter 11 provides the definitive formula for their relationship: 故有之以為利，無之以為用 ("Therefore: presence provides constraint; absence provides function"). 有 (yǒu) provides the structure, the constraint, the walls of the pot or the spokes of the wheel. This corresponds to the concept of 利 (lì), the path-cutting constraint that shapes possibility. 無 (wú) provides the function, the capacity, the emptiness inside the pot that allows it to hold something. This corresponds to 用 (yòng), the functional capacity that emerges from a structured void. The two are not opposites but co-dependent partners in creating functional systems.</w:t>
      </w:r>
    </w:p>
    <w:p>
      <w:pPr>
        <w:pStyle w:val="Heading2"/>
      </w:pPr>
      <w:r>
        <w:t xml:space="preserve">Analysis of Observational Modes</w:t>
      </w:r>
    </w:p>
    <w:p>
      <w:pPr>
        <w:spacing w:after="200"/>
      </w:pPr>
      <w:r>
        <w:t xml:space="preserve">The text further defines two orthogonal observation operations, 妙 (miào) and 徼 (jiào), which are not mystical states but distinct methodological stances. These stances directly challenge a core assumption of Western logic: If A is A, then A is not not-A. Identity determines negation. To know what something IS automatically tells you what it IS NOT. The text argues that these are orthogonal operations that yield different, yet equally necessary, information about a system.</w:t>
      </w:r>
    </w:p>
    <w:p>
      <w:pPr>
        <w:spacing w:after="200"/>
      </w:pPr>
      <w:r>
        <w:t xml:space="preserve">The "Tree Demonstration" illustrates this:</w:t>
      </w:r>
    </w:p>
    <w:p>
      <w:pPr>
        <w:spacing w:after="200"/>
      </w:pPr>
      <w:r>
        <w:rPr>
          <w:b/>
          <w:bCs/>
        </w:rPr>
        <w:t xml:space="preserve">妙-observation </w:t>
      </w:r>
      <w:r>
        <w:t xml:space="preserve">(常無欲以觀其妙 - orienting toward the implicit) reveals the tree's relational patterns and flows. It shows the tree as a standing wave in a larger system: a process circulating water, carbon, and minerals. It reveals that the tree is fundamentally made of not-tree.</w:t>
      </w:r>
    </w:p>
    <w:p>
      <w:pPr>
        <w:spacing w:after="200"/>
      </w:pPr>
      <w:r>
        <w:rPr>
          <w:b/>
          <w:bCs/>
        </w:rPr>
        <w:t xml:space="preserve">徼-observation </w:t>
      </w:r>
      <w:r>
        <w:t xml:space="preserve">(常有欲以觀其徼 - orienting toward the explicit) reveals the tree's boundaries. A close examination shows that the bark is dead, the inner xylem is dead, and life exists only at the cambium—a boundary with no measurable thickness.</w:t>
      </w:r>
    </w:p>
    <w:p>
      <w:pPr>
        <w:spacing w:after="200"/>
      </w:pPr>
      <w:r>
        <w:t xml:space="preserve">Synthesizing these two orthogonal views yields a profound insight into the structure of persistence: a stable system maintains itself by circulating what-it-is-not (revealed by 妙) through a dimensionless boundary (revealed by 徼). This paradoxical structure is not a flaw but the very mechanism of life.</w:t>
      </w:r>
    </w:p>
    <w:p>
      <w:pPr>
        <w:pStyle w:val="Heading2"/>
      </w:pPr>
      <w:r>
        <w:t xml:space="preserve">Synthesis of the Origin</w:t>
      </w:r>
    </w:p>
    <w:p>
      <w:pPr>
        <w:spacing w:after="200"/>
      </w:pPr>
      <w:r>
        <w:t xml:space="preserve">The text defines 玄 (xuán) as the paradoxical origin point—the coordinate (0,0) where these axes have not yet separated. The unity of the two observational modes, 妙 and 徼, is 玄. It is not a synthesis that resolves their tension, but the preserved, functioning paradox itself. This origin point is the source from which all differentiated reality emerges.</w:t>
      </w:r>
    </w:p>
    <w:p>
      <w:pPr>
        <w:spacing w:after="200"/>
      </w:pPr>
      <w:r>
        <w:t xml:space="preserve">This reading is contingent on a methodological reinterpretation of key terms, correcting millennia of philosophical drift. For instance, 欲 is not "desire" but "observational orientation"; 常 is not "eternal" but "frame-independent"; and 異名 is not "different names" but "illuminating differently." These corrective translations recover the text's original function as a methodological guide. In summary, Chapter 1 provides a complete and operational coordinate system. The next section will demonstrate how this abstract system is validated in the physical world through the concrete laboratory of ancient technology.</w:t>
      </w:r>
    </w:p>
    <w:p>
      <w:pPr>
        <w:pStyle w:val="Heading1"/>
      </w:pPr>
      <w:r>
        <w:t xml:space="preserve">5. Part III: Cross-Domain Validation from Ancient Technology</w:t>
      </w:r>
    </w:p>
    <w:p>
      <w:pPr>
        <w:spacing w:after="200"/>
      </w:pPr>
      <w:r>
        <w:t xml:space="preserve">The structural patterns identified in the text are not mere metaphors; they are direct observations of physical processes familiar to the artisans and engineers of ancient China. The forge, the loom, and the irrigation canal were not just tools for production but laboratories where the principles of the Dao were discovered, tested, and refined. This section presents case studies demonstrating that the text documents a universal geometry observable across different technological domains.</w:t>
      </w:r>
    </w:p>
    <w:p>
      <w:pPr>
        <w:pStyle w:val="Heading2"/>
      </w:pPr>
      <w:r>
        <w:t xml:space="preserve">Case Study 1: Metallurgy and the Bimetallic Bronze Sword</w:t>
      </w:r>
    </w:p>
    <w:p>
      <w:pPr>
        <w:spacing w:after="200"/>
      </w:pPr>
      <w:r>
        <w:t xml:space="preserve">Chapter 76 presents a formula that has long been misinterpreted as simple moral advice: 堅強者死之徒，柔弱者生之徒 ("The hard and stiff are death's followers; the soft and yielding are life's followers."). While traditionally read as a lesson in humility, a metallurgical analysis reveals it to be a precise technical observation—one that can be validated against the archaeological record of ancient Chinese bronze-working.</w:t>
      </w:r>
    </w:p>
    <w:p>
      <w:pPr>
        <w:spacing w:after="200"/>
      </w:pPr>
      <w:r>
        <w:t xml:space="preserve">When forging a blade, a smith confronts a fundamental engineering problem: the edge must be hard (剛, gāng) to cut, but the spine must be flexible (柔, róu) to absorb impact without shattering. A blade that is entirely hard will shatter; a blade that is entirely soft cannot hold an edge. The solution requires embodying </w:t>
      </w:r>
      <w:r>
        <w:rPr>
          <w:i/>
          <w:iCs/>
        </w:rPr>
        <w:t xml:space="preserve">both</w:t>
      </w:r>
      <w:r>
        <w:t xml:space="preserve"> properties in a functional distribution.</w:t>
      </w:r>
    </w:p>
    <w:p>
      <w:pPr>
        <w:spacing w:after="200"/>
      </w:pPr>
      <w:r>
        <w:t xml:space="preserve">The smiths of the Wu (吳) and Yue (越) states, centered in modern Jiangsu and Zhejiang provinces, developed a sophisticated solution during the Spring and Autumn period (770–476 BCE): bimetallic bronze casting (二次鑄造, "two-times casting"). The technique involved casting the blade in two stages with alloys of different compositions:</w:t>
      </w:r>
    </w:p>
    <w:p>
      <w:pPr>
        <w:spacing w:after="200"/>
      </w:pPr>
      <w:r>
        <w:rPr>
          <w:b/>
          <w:bCs/>
        </w:rPr>
        <w:t xml:space="preserve">First casting (spine): </w:t>
      </w:r>
      <w:r>
        <w:t xml:space="preserve">High-copper, low-tin bronze. This alloy has a red-yellow color and produces metal that is tough and flexible (柔)—capable of absorbing shock without fracturing.</w:t>
      </w:r>
    </w:p>
    <w:p>
      <w:pPr>
        <w:spacing w:after="200"/>
      </w:pPr>
      <w:r>
        <w:rPr>
          <w:b/>
          <w:bCs/>
        </w:rPr>
        <w:t xml:space="preserve">Second casting (edge): </w:t>
      </w:r>
      <w:r>
        <w:t xml:space="preserve">High-tin, low-copper bronze. This alloy has a white-yellow color and produces metal that is hard and sharp (剛)—capable of holding a razor edge.</w:t>
      </w:r>
    </w:p>
    <w:p>
      <w:pPr>
        <w:spacing w:after="200"/>
      </w:pPr>
      <w:r>
        <w:t xml:space="preserve">The result is a blade that embodies the 剛/柔 gradient in its physical structure. The visible color boundary between these two zones—where the red-yellow spine meets the white-yellow edge—is the physical record of this differential composition. This boundary is Chapter 76 written in bronze.</w:t>
      </w:r>
    </w:p>
    <w:p>
      <w:pPr>
        <w:spacing w:after="200"/>
      </w:pPr>
      <w:r>
        <w:t xml:space="preserve">The archaeological evidence for this technique is substantial. The most famous example is the Sword of Goujian (越王勾踐劍, ~495 BCE), excavated in 1965 from a Chu tomb at Wangshan, Hubei Province—the same cultural region that would later produce the Guodian bamboo manuscripts containing the earliest known </w:t>
      </w:r>
      <w:r>
        <w:rPr>
          <w:i/>
          <w:iCs/>
        </w:rPr>
        <w:t xml:space="preserve">Dao De Jing</w:t>
      </w:r>
      <w:r>
        <w:t xml:space="preserve"> texts. The sword, made for King Goujian of Yue, visibly demonstrates the bimetallic technique through its two-color zones. Despite being submerged in waterlogged soil for over 2,400 years, it retained its sharp edge—a testament to the metallurgical sophistication of its makers.</w:t>
      </w:r>
    </w:p>
    <w:p>
      <w:pPr>
        <w:spacing w:after="200"/>
      </w:pPr>
      <w:r>
        <w:t xml:space="preserve">This is not coincidence. The Chu cultural sphere, spanning modern Hubei, Hunan, and parts of surrounding provinces, was the recipient of Wu-Yue metallurgical technology through conquest and cultural exchange. The same artisans who understood that a blade requires both hard edges and yielding spines to persist were the inheritors and transmitters of the </w:t>
      </w:r>
      <w:r>
        <w:rPr>
          <w:i/>
          <w:iCs/>
        </w:rPr>
        <w:t xml:space="preserve">Dao De Jing</w:t>
      </w:r>
      <w:r>
        <w:t xml:space="preserve"> tradition. The principle documented in Chapter 76 was not abstract philosophy but direct observation from the forge.</w:t>
      </w:r>
    </w:p>
    <w:p>
      <w:pPr>
        <w:pStyle w:val="Heading2"/>
      </w:pPr>
      <w:r>
        <w:t xml:space="preserve">The Kaogongji: A Parallel Technical Manual</w:t>
      </w:r>
    </w:p>
    <w:p>
      <w:pPr>
        <w:spacing w:after="200"/>
      </w:pPr>
      <w:r>
        <w:t xml:space="preserve">The claim that the </w:t>
      </w:r>
      <w:r>
        <w:rPr>
          <w:i/>
          <w:iCs/>
        </w:rPr>
        <w:t xml:space="preserve">Dao De Jing</w:t>
      </w:r>
      <w:r>
        <w:t xml:space="preserve"> functions as technical documentation gains further support from the existence of an explicit technical manual from the same period: the </w:t>
      </w:r>
      <w:r>
        <w:rPr>
          <w:i/>
          <w:iCs/>
        </w:rPr>
        <w:t xml:space="preserve">Kaogongji</w:t>
      </w:r>
      <w:r>
        <w:t xml:space="preserve"> (考工記, "Record of Trades"), compiled during the 5th–3rd centuries BCE and preserved as part of the </w:t>
      </w:r>
      <w:r>
        <w:rPr>
          <w:i/>
          <w:iCs/>
        </w:rPr>
        <w:t xml:space="preserve">Rites of Zhou</w:t>
      </w:r>
      <w:r>
        <w:t xml:space="preserve">.</w:t>
      </w:r>
    </w:p>
    <w:p>
      <w:pPr>
        <w:spacing w:after="200"/>
      </w:pPr>
      <w:r>
        <w:t xml:space="preserve">The </w:t>
      </w:r>
      <w:r>
        <w:rPr>
          <w:i/>
          <w:iCs/>
        </w:rPr>
        <w:t xml:space="preserve">Kaogongji</w:t>
      </w:r>
      <w:r>
        <w:t xml:space="preserve"> records the "Six Recipes" (六齊, liù qí) for bronze alloy formulations—specific ratios of copper and tin for different applications. This represents systematic documentation of metallurgical knowledge in compressed notation, precisely the function we attribute to the </w:t>
      </w:r>
      <w:r>
        <w:rPr>
          <w:i/>
          <w:iCs/>
        </w:rPr>
        <w:t xml:space="preserve">Dao De Jing</w:t>
      </w:r>
      <w:r>
        <w:t xml:space="preserve"> for structural principles.</w:t>
      </w:r>
    </w:p>
    <w:p>
      <w:pPr>
        <w:spacing w:after="200"/>
      </w:pPr>
      <w:r>
        <w:t xml:space="preserve">The two texts are parallel: the </w:t>
      </w:r>
      <w:r>
        <w:rPr>
          <w:i/>
          <w:iCs/>
        </w:rPr>
        <w:t xml:space="preserve">Kaogongji</w:t>
      </w:r>
      <w:r>
        <w:t xml:space="preserve"> encodes </w:t>
      </w:r>
      <w:r>
        <w:rPr>
          <w:i/>
          <w:iCs/>
        </w:rPr>
        <w:t xml:space="preserve">material</w:t>
      </w:r>
      <w:r>
        <w:t xml:space="preserve"> formulas ("use this ratio of metals for this application"); the </w:t>
      </w:r>
      <w:r>
        <w:rPr>
          <w:i/>
          <w:iCs/>
        </w:rPr>
        <w:t xml:space="preserve">Dao De Jing</w:t>
      </w:r>
      <w:r>
        <w:t xml:space="preserve"> encodes </w:t>
      </w:r>
      <w:r>
        <w:rPr>
          <w:i/>
          <w:iCs/>
        </w:rPr>
        <w:t xml:space="preserve">structural</w:t>
      </w:r>
      <w:r>
        <w:t xml:space="preserve"> formulas ("systems that combine rigidity and flexibility persist"). Both emerge from the same technological context, both use compressed notation, and both were transmitted through the same cultural channels. The existence of the </w:t>
      </w:r>
      <w:r>
        <w:rPr>
          <w:i/>
          <w:iCs/>
        </w:rPr>
        <w:t xml:space="preserve">Kaogongji</w:t>
      </w:r>
      <w:r>
        <w:t xml:space="preserve"> makes the interpretation of the </w:t>
      </w:r>
      <w:r>
        <w:rPr>
          <w:i/>
          <w:iCs/>
        </w:rPr>
        <w:t xml:space="preserve">Dao De Jing</w:t>
      </w:r>
      <w:r>
        <w:t xml:space="preserve"> as technical documentation not a radical departure but a recognition of genre.</w:t>
      </w:r>
    </w:p>
    <w:p>
      <w:pPr>
        <w:pStyle w:val="Heading2"/>
      </w:pPr>
      <w:r>
        <w:t xml:space="preserve">Case Study 2: Weaving and The Loom</w:t>
      </w:r>
    </w:p>
    <w:p>
      <w:pPr>
        <w:spacing w:after="200"/>
      </w:pPr>
      <w:r>
        <w:t xml:space="preserve">The very title of the text, 道德經, contains a technological key. The character 經 (jīng), typically translated as "classic" or "scripture," originally meant the warp threads on a loom. These are the vertical, invariant threads that are tensioned first and provide the foundational structure for the entire fabric.</w:t>
      </w:r>
    </w:p>
    <w:p>
      <w:pPr>
        <w:spacing w:after="200"/>
      </w:pPr>
      <w:r>
        <w:t xml:space="preserve">The loom itself is a teacher of physics. To create stable cloth, the weft (the horizontal, variable thread) must cross the warp at a perpendicular angle. Any other angle results in bunched, non-functional fabric. The loom enforces a geometry of stability through perpendicularity.</w:t>
      </w:r>
    </w:p>
    <w:p>
      <w:pPr>
        <w:spacing w:after="200"/>
      </w:pPr>
      <w:r>
        <w:t xml:space="preserve">Read structurally, the title 道德經 translates not as "The Classic of the Way and Virtue," but as "The Warp-Threading of Pattern and Alignment." The text provides the invariant warp, through which millennia of interpretation have passed like weft.</w:t>
      </w:r>
    </w:p>
    <w:p>
      <w:pPr>
        <w:pStyle w:val="Heading2"/>
      </w:pPr>
      <w:r>
        <w:t xml:space="preserve">Case Study 3: Hydraulics and Agriculture</w:t>
      </w:r>
    </w:p>
    <w:p>
      <w:pPr>
        <w:spacing w:after="200"/>
      </w:pPr>
      <w:r>
        <w:t xml:space="preserve">The text's operational grammar is replete with characters drawn from other essential technologies, underscoring the universality of its principles.</w:t>
      </w:r>
    </w:p>
    <w:p>
      <w:pPr>
        <w:spacing w:after="200"/>
      </w:pPr>
      <w:r>
        <w:rPr>
          <w:b/>
          <w:bCs/>
        </w:rPr>
        <w:t xml:space="preserve">Hydraulics: </w:t>
      </w:r>
      <w:r>
        <w:t xml:space="preserve">The character 治 (zhì), meaning "to govern," is composed of 氵 (water) and 台 (platform). It depicts water flowing through infrastructure. Historically, the legendary founder of Chinese civilization, Yu the Great, became emperor through his success in flood control. 治水 (manage water) came first; 治國 (manage state) is the derived application. This connects the principles of governance directly to hydraulic engineering—managing a state is like channeling water, creating conditions for natural flow rather than forcing it.</w:t>
      </w:r>
    </w:p>
    <w:p>
      <w:pPr>
        <w:spacing w:after="200"/>
      </w:pPr>
      <w:r>
        <w:rPr>
          <w:b/>
          <w:bCs/>
        </w:rPr>
        <w:t xml:space="preserve">Agriculture: </w:t>
      </w:r>
      <w:r>
        <w:t xml:space="preserve">The character 利 (lì), meaning "benefit," depicts a scythe blade (刂) arcing through a field of grain (禾). This links the abstract concept of "benefit" to the geometry of efficient action—the curved, π-operation of the harvest that succeeds where linear force would fail.</w:t>
      </w:r>
    </w:p>
    <w:p>
      <w:pPr>
        <w:spacing w:after="200"/>
      </w:pPr>
      <w:r>
        <w:rPr>
          <w:b/>
          <w:bCs/>
        </w:rPr>
        <w:t xml:space="preserve">Optics: </w:t>
      </w:r>
      <w:r>
        <w:t xml:space="preserve">The character 的 (dì), meaning "target" or "focus," is composed of 白 (brightness) and 勺 (a concave curve). It encodes the physics of a parabolic mirror, where a curved surface concentrates distributed brightness to a single focal point.</w:t>
      </w:r>
    </w:p>
    <w:p>
      <w:pPr>
        <w:spacing w:after="200"/>
      </w:pPr>
      <w:r>
        <w:t xml:space="preserve">These technologies are not analogies for the Dao; they are domains where its principles were empirically discovered. The shared patterns across the forge, the loom, and the canal point to a universal, recursive algorithm for how stable systems function.</w:t>
      </w:r>
    </w:p>
    <w:p>
      <w:pPr>
        <w:pStyle w:val="Heading1"/>
      </w:pPr>
      <w:r>
        <w:t xml:space="preserve">6. Part IV: The Polarity Principle—Structure, Not Traversal</w:t>
      </w:r>
    </w:p>
    <w:p>
      <w:pPr>
        <w:spacing w:after="200"/>
      </w:pPr>
      <w:r>
        <w:t xml:space="preserve">The convergence of linguistic and technological patterns in the </w:t>
      </w:r>
      <w:r>
        <w:rPr>
          <w:i/>
          <w:iCs/>
        </w:rPr>
        <w:t xml:space="preserve">Dao De Jing</w:t>
      </w:r>
      <w:r>
        <w:t xml:space="preserve"> points toward a universal principle for how stable structures emerge from undifferentiated potential. Traditional readings have interpreted this principle as cyclical return—a temporal process of going forth and coming back. Analysis of Chapter 25, particularly in light of the Guodian bamboo manuscripts (~300 BCE), reveals something fundamentally different: not cycle, but polarity. Not traversal, but structural co-emergence.</w:t>
      </w:r>
    </w:p>
    <w:p>
      <w:pPr>
        <w:pStyle w:val="Heading2"/>
      </w:pPr>
      <w:r>
        <w:t xml:space="preserve">The Archaeological Evidence</w:t>
      </w:r>
    </w:p>
    <w:p>
      <w:pPr>
        <w:spacing w:after="200"/>
      </w:pPr>
      <w:r>
        <w:t xml:space="preserve">The Guodian bamboo slips, excavated in 1993 from a tomb sealed around 300 BCE, represent the oldest known manuscripts of the Laozi tradition. A critical textual variant appears in the core sequence of Chapter 25. Where the received Wang Bi text reads 逝 (shì, "depart"), the Guodian manuscripts read 潰 (kuì, "overflow, burst dam").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E8E8E8" w:val="clear"/>
          </w:tcPr>
          <w:p>
            <w:r>
              <w:rPr>
                <w:b/>
                <w:bCs/>
              </w:rPr>
              <w:t xml:space="preserve">Version</w:t>
            </w:r>
          </w:p>
        </w:tc>
        <w:tc>
          <w:tcPr>
            <w:tcW w:type="dxa" w:w="3120"/>
            <w:tcBorders>
              <w:top w:val="single" w:color="999999" w:sz="1"/>
              <w:left w:val="single" w:color="999999" w:sz="1"/>
              <w:bottom w:val="single" w:color="999999" w:sz="1"/>
              <w:right w:val="single" w:color="999999" w:sz="1"/>
            </w:tcBorders>
            <w:shd w:fill="E8E8E8" w:val="clear"/>
          </w:tcPr>
          <w:p>
            <w:r>
              <w:rPr>
                <w:b/>
                <w:bCs/>
              </w:rPr>
              <w:t xml:space="preserve">Character</w:t>
            </w:r>
          </w:p>
        </w:tc>
        <w:tc>
          <w:tcPr>
            <w:tcW w:type="dxa" w:w="3120"/>
            <w:tcBorders>
              <w:top w:val="single" w:color="999999" w:sz="1"/>
              <w:left w:val="single" w:color="999999" w:sz="1"/>
              <w:bottom w:val="single" w:color="999999" w:sz="1"/>
              <w:right w:val="single" w:color="999999" w:sz="1"/>
            </w:tcBorders>
            <w:shd w:fill="E8E8E8" w:val="clear"/>
          </w:tcPr>
          <w:p>
            <w:r>
              <w:rPr>
                <w:b/>
                <w:bCs/>
              </w:rPr>
              <w:t xml:space="preserve">Meaning</w:t>
            </w:r>
          </w:p>
        </w:tc>
      </w:tr>
      <w:tr>
        <w:tc>
          <w:tcPr>
            <w:tcW w:type="dxa" w:w="3120"/>
            <w:tcBorders>
              <w:top w:val="single" w:color="999999" w:sz="1"/>
              <w:left w:val="single" w:color="999999" w:sz="1"/>
              <w:bottom w:val="single" w:color="999999" w:sz="1"/>
              <w:right w:val="single" w:color="999999" w:sz="1"/>
            </w:tcBorders>
          </w:tcPr>
          <w:p>
            <w:r>
              <w:t xml:space="preserve">Received text</w:t>
            </w:r>
          </w:p>
        </w:tc>
        <w:tc>
          <w:tcPr>
            <w:tcW w:type="dxa" w:w="3120"/>
            <w:tcBorders>
              <w:top w:val="single" w:color="999999" w:sz="1"/>
              <w:left w:val="single" w:color="999999" w:sz="1"/>
              <w:bottom w:val="single" w:color="999999" w:sz="1"/>
              <w:right w:val="single" w:color="999999" w:sz="1"/>
            </w:tcBorders>
          </w:tcPr>
          <w:p>
            <w:r>
              <w:t xml:space="preserve">逝 (shì)</w:t>
            </w:r>
          </w:p>
        </w:tc>
        <w:tc>
          <w:tcPr>
            <w:tcW w:type="dxa" w:w="3120"/>
            <w:tcBorders>
              <w:top w:val="single" w:color="999999" w:sz="1"/>
              <w:left w:val="single" w:color="999999" w:sz="1"/>
              <w:bottom w:val="single" w:color="999999" w:sz="1"/>
              <w:right w:val="single" w:color="999999" w:sz="1"/>
            </w:tcBorders>
          </w:tcPr>
          <w:p>
            <w:r>
              <w:t xml:space="preserve">Depart, go forth (volitional)</w:t>
            </w:r>
          </w:p>
        </w:tc>
      </w:tr>
      <w:tr>
        <w:tc>
          <w:tcPr>
            <w:tcW w:type="dxa" w:w="3120"/>
            <w:tcBorders>
              <w:top w:val="single" w:color="999999" w:sz="1"/>
              <w:left w:val="single" w:color="999999" w:sz="1"/>
              <w:bottom w:val="single" w:color="999999" w:sz="1"/>
              <w:right w:val="single" w:color="999999" w:sz="1"/>
            </w:tcBorders>
          </w:tcPr>
          <w:p>
            <w:r>
              <w:t xml:space="preserve">Guodian (~300 BCE)</w:t>
            </w:r>
          </w:p>
        </w:tc>
        <w:tc>
          <w:tcPr>
            <w:tcW w:type="dxa" w:w="3120"/>
            <w:tcBorders>
              <w:top w:val="single" w:color="999999" w:sz="1"/>
              <w:left w:val="single" w:color="999999" w:sz="1"/>
              <w:bottom w:val="single" w:color="999999" w:sz="1"/>
              <w:right w:val="single" w:color="999999" w:sz="1"/>
            </w:tcBorders>
          </w:tcPr>
          <w:p>
            <w:r>
              <w:t xml:space="preserve">潰 (kuì)</w:t>
            </w:r>
          </w:p>
        </w:tc>
        <w:tc>
          <w:tcPr>
            <w:tcW w:type="dxa" w:w="3120"/>
            <w:tcBorders>
              <w:top w:val="single" w:color="999999" w:sz="1"/>
              <w:left w:val="single" w:color="999999" w:sz="1"/>
              <w:bottom w:val="single" w:color="999999" w:sz="1"/>
              <w:right w:val="single" w:color="999999" w:sz="1"/>
            </w:tcBorders>
          </w:tcPr>
          <w:p>
            <w:r>
              <w:t xml:space="preserve">Overflow, burst dam (hydraulic)</w:t>
            </w:r>
          </w:p>
        </w:tc>
      </w:tr>
    </w:tbl>
    <w:p>
      <w:pPr>
        <w:spacing w:after="200"/>
      </w:pPr>
    </w:p>
    <w:p>
      <w:pPr>
        <w:spacing w:after="200"/>
      </w:pPr>
      <w:r>
        <w:t xml:space="preserve">This variant is not merely philological—it is geometrically decisive. A traveler who "departs" can choose to return. Water that "overflows" cannot choose; it follows the shape of the terrain. The Guodian reading removes agency from the process, implying that any "return" must be structural, not volitional.</w:t>
      </w:r>
    </w:p>
    <w:p>
      <w:pPr>
        <w:pStyle w:val="Heading2"/>
      </w:pPr>
      <w:r>
        <w:t xml:space="preserve">The Problem with Return</w:t>
      </w:r>
    </w:p>
    <w:p>
      <w:pPr>
        <w:spacing w:after="200"/>
      </w:pPr>
      <w:r>
        <w:t xml:space="preserve">Traditional readings interpret the sequence 大曰逝，逝曰遠，遠曰反 as describing cyclical return: what extends far eventually comes back. But this creates a logical problem. If 大 (dà) means "infinity"—truly unbounded extent—then traversal to a point and back is impossible. You cannot circumnavigate an infinite plane. No matter how long you walk, you never arrive anywhere.</w:t>
      </w:r>
    </w:p>
    <w:p>
      <w:pPr>
        <w:spacing w:after="200"/>
      </w:pPr>
      <w:r>
        <w:t xml:space="preserve">Either 大 does not mean infinite, or 反 does not mean return through traversal.</w:t>
      </w:r>
    </w:p>
    <w:p>
      <w:pPr>
        <w:pStyle w:val="Heading2"/>
      </w:pPr>
      <w:r>
        <w:t xml:space="preserve">The Polarity Resolution</w:t>
      </w:r>
    </w:p>
    <w:p>
      <w:pPr>
        <w:spacing w:after="200"/>
      </w:pPr>
      <w:r>
        <w:t xml:space="preserve">The resolution lies in recognizing that 反 encodes not spatial return but structural polarity—the co-emergence of opposition that occurs when any distinction is made.</w:t>
      </w:r>
    </w:p>
    <w:p>
      <w:pPr>
        <w:spacing w:after="200"/>
      </w:pPr>
      <w:r>
        <w:t xml:space="preserve">Consider: To have a position in an infinite field is to establish a coordinate system. A coordinate system has poles. These poles are not locations you travel between—they are structural opposites that co-emerge with the act of distinction itself.</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E8E8E8" w:val="clear"/>
          </w:tcPr>
          <w:p>
            <w:r>
              <w:rPr>
                <w:b/>
                <w:bCs/>
              </w:rPr>
              <w:t xml:space="preserve">What You Have</w:t>
            </w:r>
          </w:p>
        </w:tc>
        <w:tc>
          <w:tcPr>
            <w:tcW w:type="dxa" w:w="3120"/>
            <w:tcBorders>
              <w:top w:val="single" w:color="999999" w:sz="1"/>
              <w:left w:val="single" w:color="999999" w:sz="1"/>
              <w:bottom w:val="single" w:color="999999" w:sz="1"/>
              <w:right w:val="single" w:color="999999" w:sz="1"/>
            </w:tcBorders>
            <w:shd w:fill="E8E8E8" w:val="clear"/>
          </w:tcPr>
          <w:p>
            <w:r>
              <w:rPr>
                <w:b/>
                <w:bCs/>
              </w:rPr>
              <w:t xml:space="preserve">What It Creates</w:t>
            </w:r>
          </w:p>
        </w:tc>
        <w:tc>
          <w:tcPr>
            <w:tcW w:type="dxa" w:w="3120"/>
            <w:tcBorders>
              <w:top w:val="single" w:color="999999" w:sz="1"/>
              <w:left w:val="single" w:color="999999" w:sz="1"/>
              <w:bottom w:val="single" w:color="999999" w:sz="1"/>
              <w:right w:val="single" w:color="999999" w:sz="1"/>
            </w:tcBorders>
            <w:shd w:fill="E8E8E8" w:val="clear"/>
          </w:tcPr>
          <w:p>
            <w:r>
              <w:rPr>
                <w:b/>
                <w:bCs/>
              </w:rPr>
              <w:t xml:space="preserve">Relationship</w:t>
            </w:r>
          </w:p>
        </w:tc>
      </w:tr>
      <w:tr>
        <w:tc>
          <w:tcPr>
            <w:tcW w:type="dxa" w:w="3120"/>
            <w:tcBorders>
              <w:top w:val="single" w:color="999999" w:sz="1"/>
              <w:left w:val="single" w:color="999999" w:sz="1"/>
              <w:bottom w:val="single" w:color="999999" w:sz="1"/>
              <w:right w:val="single" w:color="999999" w:sz="1"/>
            </w:tcBorders>
          </w:tcPr>
          <w:p>
            <w:r>
              <w:t xml:space="preserve">A position</w:t>
            </w:r>
          </w:p>
        </w:tc>
        <w:tc>
          <w:tcPr>
            <w:tcW w:type="dxa" w:w="3120"/>
            <w:tcBorders>
              <w:top w:val="single" w:color="999999" w:sz="1"/>
              <w:left w:val="single" w:color="999999" w:sz="1"/>
              <w:bottom w:val="single" w:color="999999" w:sz="1"/>
              <w:right w:val="single" w:color="999999" w:sz="1"/>
            </w:tcBorders>
          </w:tcPr>
          <w:p>
            <w:r>
              <w:t xml:space="preserve">A coordinate system</w:t>
            </w:r>
          </w:p>
        </w:tc>
        <w:tc>
          <w:tcPr>
            <w:tcW w:type="dxa" w:w="3120"/>
            <w:tcBorders>
              <w:top w:val="single" w:color="999999" w:sz="1"/>
              <w:left w:val="single" w:color="999999" w:sz="1"/>
              <w:bottom w:val="single" w:color="999999" w:sz="1"/>
              <w:right w:val="single" w:color="999999" w:sz="1"/>
            </w:tcBorders>
          </w:tcPr>
          <w:p>
            <w:r>
              <w:t xml:space="preserve">Structural necessity</w:t>
            </w:r>
          </w:p>
        </w:tc>
      </w:tr>
      <w:tr>
        <w:tc>
          <w:tcPr>
            <w:tcW w:type="dxa" w:w="3120"/>
            <w:tcBorders>
              <w:top w:val="single" w:color="999999" w:sz="1"/>
              <w:left w:val="single" w:color="999999" w:sz="1"/>
              <w:bottom w:val="single" w:color="999999" w:sz="1"/>
              <w:right w:val="single" w:color="999999" w:sz="1"/>
            </w:tcBorders>
          </w:tcPr>
          <w:p>
            <w:r>
              <w:t xml:space="preserve">A direction</w:t>
            </w:r>
          </w:p>
        </w:tc>
        <w:tc>
          <w:tcPr>
            <w:tcW w:type="dxa" w:w="3120"/>
            <w:tcBorders>
              <w:top w:val="single" w:color="999999" w:sz="1"/>
              <w:left w:val="single" w:color="999999" w:sz="1"/>
              <w:bottom w:val="single" w:color="999999" w:sz="1"/>
              <w:right w:val="single" w:color="999999" w:sz="1"/>
            </w:tcBorders>
          </w:tcPr>
          <w:p>
            <w:r>
              <w:t xml:space="preserve">Its opposite direction</w:t>
            </w:r>
          </w:p>
        </w:tc>
        <w:tc>
          <w:tcPr>
            <w:tcW w:type="dxa" w:w="3120"/>
            <w:tcBorders>
              <w:top w:val="single" w:color="999999" w:sz="1"/>
              <w:left w:val="single" w:color="999999" w:sz="1"/>
              <w:bottom w:val="single" w:color="999999" w:sz="1"/>
              <w:right w:val="single" w:color="999999" w:sz="1"/>
            </w:tcBorders>
          </w:tcPr>
          <w:p>
            <w:r>
              <w:t xml:space="preserve">π radians</w:t>
            </w:r>
          </w:p>
        </w:tc>
      </w:tr>
      <w:tr>
        <w:tc>
          <w:tcPr>
            <w:tcW w:type="dxa" w:w="3120"/>
            <w:tcBorders>
              <w:top w:val="single" w:color="999999" w:sz="1"/>
              <w:left w:val="single" w:color="999999" w:sz="1"/>
              <w:bottom w:val="single" w:color="999999" w:sz="1"/>
              <w:right w:val="single" w:color="999999" w:sz="1"/>
            </w:tcBorders>
          </w:tcPr>
          <w:p>
            <w:r>
              <w:t xml:space="preserve">+1</w:t>
            </w:r>
          </w:p>
        </w:tc>
        <w:tc>
          <w:tcPr>
            <w:tcW w:type="dxa" w:w="3120"/>
            <w:tcBorders>
              <w:top w:val="single" w:color="999999" w:sz="1"/>
              <w:left w:val="single" w:color="999999" w:sz="1"/>
              <w:bottom w:val="single" w:color="999999" w:sz="1"/>
              <w:right w:val="single" w:color="999999" w:sz="1"/>
            </w:tcBorders>
          </w:tcPr>
          <w:p>
            <w:r>
              <w:t xml:space="preserve">-1</w:t>
            </w:r>
          </w:p>
        </w:tc>
        <w:tc>
          <w:tcPr>
            <w:tcW w:type="dxa" w:w="3120"/>
            <w:tcBorders>
              <w:top w:val="single" w:color="999999" w:sz="1"/>
              <w:left w:val="single" w:color="999999" w:sz="1"/>
              <w:bottom w:val="single" w:color="999999" w:sz="1"/>
              <w:right w:val="single" w:color="999999" w:sz="1"/>
            </w:tcBorders>
          </w:tcPr>
          <w:p>
            <w:r>
              <w:t xml:space="preserve">Polarity</w:t>
            </w:r>
          </w:p>
        </w:tc>
      </w:tr>
      <w:tr>
        <w:tc>
          <w:tcPr>
            <w:tcW w:type="dxa" w:w="3120"/>
            <w:tcBorders>
              <w:top w:val="single" w:color="999999" w:sz="1"/>
              <w:left w:val="single" w:color="999999" w:sz="1"/>
              <w:bottom w:val="single" w:color="999999" w:sz="1"/>
              <w:right w:val="single" w:color="999999" w:sz="1"/>
            </w:tcBorders>
          </w:tcPr>
          <w:p>
            <w:r>
              <w:t xml:space="preserve">Here</w:t>
            </w:r>
          </w:p>
        </w:tc>
        <w:tc>
          <w:tcPr>
            <w:tcW w:type="dxa" w:w="3120"/>
            <w:tcBorders>
              <w:top w:val="single" w:color="999999" w:sz="1"/>
              <w:left w:val="single" w:color="999999" w:sz="1"/>
              <w:bottom w:val="single" w:color="999999" w:sz="1"/>
              <w:right w:val="single" w:color="999999" w:sz="1"/>
            </w:tcBorders>
          </w:tcPr>
          <w:p>
            <w:r>
              <w:t xml:space="preserve">Maximally not-here</w:t>
            </w:r>
          </w:p>
        </w:tc>
        <w:tc>
          <w:tcPr>
            <w:tcW w:type="dxa" w:w="3120"/>
            <w:tcBorders>
              <w:top w:val="single" w:color="999999" w:sz="1"/>
              <w:left w:val="single" w:color="999999" w:sz="1"/>
              <w:bottom w:val="single" w:color="999999" w:sz="1"/>
              <w:right w:val="single" w:color="999999" w:sz="1"/>
            </w:tcBorders>
          </w:tcPr>
          <w:p>
            <w:r>
              <w:t xml:space="preserve">Co-emergence</w:t>
            </w:r>
          </w:p>
        </w:tc>
      </w:tr>
    </w:tbl>
    <w:p>
      <w:pPr>
        <w:spacing w:after="200"/>
      </w:pPr>
    </w:p>
    <w:p>
      <w:pPr>
        <w:spacing w:after="200"/>
      </w:pPr>
      <w:r>
        <w:t xml:space="preserve">The -1 does not exist independently of the +1. They arise together. This is the meaning of 相生 (xiāng shēng, "mutual arising") in Chapter 2: 有無相生 ("presence and absence mutually arise"). Not that absence follows presence in sequence, but that they co-emerge structurally.</w:t>
      </w:r>
    </w:p>
    <w:p>
      <w:pPr>
        <w:pStyle w:val="Heading2"/>
      </w:pPr>
      <w:r>
        <w:t xml:space="preserve">Rereading Chapter 25</w:t>
      </w:r>
    </w:p>
    <w:p>
      <w:pPr>
        <w:spacing w:after="200"/>
      </w:pPr>
      <w:r>
        <w:t xml:space="preserve">With polarity rather than return, the core sequence becomes: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rPr>
          <w:tblHeader/>
        </w:trPr>
        <w:tc>
          <w:tcPr>
            <w:tcW w:type="dxa" w:w="3120"/>
            <w:tcBorders>
              <w:top w:val="single" w:color="999999" w:sz="1"/>
              <w:left w:val="single" w:color="999999" w:sz="1"/>
              <w:bottom w:val="single" w:color="999999" w:sz="1"/>
              <w:right w:val="single" w:color="999999" w:sz="1"/>
            </w:tcBorders>
            <w:shd w:fill="E8E8E8" w:val="clear"/>
          </w:tcPr>
          <w:p>
            <w:r>
              <w:rPr>
                <w:b/>
                <w:bCs/>
              </w:rPr>
              <w:t xml:space="preserve">Chinese (Guodian)</w:t>
            </w:r>
          </w:p>
        </w:tc>
        <w:tc>
          <w:tcPr>
            <w:tcW w:type="dxa" w:w="2000"/>
            <w:tcBorders>
              <w:top w:val="single" w:color="999999" w:sz="1"/>
              <w:left w:val="single" w:color="999999" w:sz="1"/>
              <w:bottom w:val="single" w:color="999999" w:sz="1"/>
              <w:right w:val="single" w:color="999999" w:sz="1"/>
            </w:tcBorders>
            <w:shd w:fill="E8E8E8" w:val="clear"/>
          </w:tcPr>
          <w:p>
            <w:r>
              <w:rPr>
                <w:b/>
                <w:bCs/>
              </w:rPr>
              <w:t xml:space="preserve">Pinyin</w:t>
            </w:r>
          </w:p>
        </w:tc>
        <w:tc>
          <w:tcPr>
            <w:tcW w:type="dxa" w:w="4240"/>
            <w:tcBorders>
              <w:top w:val="single" w:color="999999" w:sz="1"/>
              <w:left w:val="single" w:color="999999" w:sz="1"/>
              <w:bottom w:val="single" w:color="999999" w:sz="1"/>
              <w:right w:val="single" w:color="999999" w:sz="1"/>
            </w:tcBorders>
            <w:shd w:fill="E8E8E8" w:val="clear"/>
          </w:tcPr>
          <w:p>
            <w:r>
              <w:rPr>
                <w:b/>
                <w:bCs/>
              </w:rPr>
              <w:t xml:space="preserve">Structural Reading</w:t>
            </w:r>
          </w:p>
        </w:tc>
      </w:tr>
      <w:tr>
        <w:tc>
          <w:tcPr>
            <w:tcW w:type="dxa" w:w="3120"/>
            <w:tcBorders>
              <w:top w:val="single" w:color="999999" w:sz="1"/>
              <w:left w:val="single" w:color="999999" w:sz="1"/>
              <w:bottom w:val="single" w:color="999999" w:sz="1"/>
              <w:right w:val="single" w:color="999999" w:sz="1"/>
            </w:tcBorders>
          </w:tcPr>
          <w:p>
            <w:r>
              <w:t xml:space="preserve">大曰潰</w:t>
            </w:r>
          </w:p>
        </w:tc>
        <w:tc>
          <w:tcPr>
            <w:tcW w:type="dxa" w:w="2000"/>
            <w:tcBorders>
              <w:top w:val="single" w:color="999999" w:sz="1"/>
              <w:left w:val="single" w:color="999999" w:sz="1"/>
              <w:bottom w:val="single" w:color="999999" w:sz="1"/>
              <w:right w:val="single" w:color="999999" w:sz="1"/>
            </w:tcBorders>
          </w:tcPr>
          <w:p>
            <w:r>
              <w:t xml:space="preserve">dà yuē kuì</w:t>
            </w:r>
          </w:p>
        </w:tc>
        <w:tc>
          <w:tcPr>
            <w:tcW w:type="dxa" w:w="4240"/>
            <w:tcBorders>
              <w:top w:val="single" w:color="999999" w:sz="1"/>
              <w:left w:val="single" w:color="999999" w:sz="1"/>
              <w:bottom w:val="single" w:color="999999" w:sz="1"/>
              <w:right w:val="single" w:color="999999" w:sz="1"/>
            </w:tcBorders>
          </w:tcPr>
          <w:p>
            <w:r>
              <w:t xml:space="preserve">Infinity overflows</w:t>
            </w:r>
          </w:p>
        </w:tc>
      </w:tr>
      <w:tr>
        <w:tc>
          <w:tcPr>
            <w:tcW w:type="dxa" w:w="3120"/>
            <w:tcBorders>
              <w:top w:val="single" w:color="999999" w:sz="1"/>
              <w:left w:val="single" w:color="999999" w:sz="1"/>
              <w:bottom w:val="single" w:color="999999" w:sz="1"/>
              <w:right w:val="single" w:color="999999" w:sz="1"/>
            </w:tcBorders>
          </w:tcPr>
          <w:p>
            <w:r>
              <w:t xml:space="preserve">潰曰遠</w:t>
            </w:r>
          </w:p>
        </w:tc>
        <w:tc>
          <w:tcPr>
            <w:tcW w:type="dxa" w:w="2000"/>
            <w:tcBorders>
              <w:top w:val="single" w:color="999999" w:sz="1"/>
              <w:left w:val="single" w:color="999999" w:sz="1"/>
              <w:bottom w:val="single" w:color="999999" w:sz="1"/>
              <w:right w:val="single" w:color="999999" w:sz="1"/>
            </w:tcBorders>
          </w:tcPr>
          <w:p>
            <w:r>
              <w:t xml:space="preserve">kuì yuē yuǎn</w:t>
            </w:r>
          </w:p>
        </w:tc>
        <w:tc>
          <w:tcPr>
            <w:tcW w:type="dxa" w:w="4240"/>
            <w:tcBorders>
              <w:top w:val="single" w:color="999999" w:sz="1"/>
              <w:left w:val="single" w:color="999999" w:sz="1"/>
              <w:bottom w:val="single" w:color="999999" w:sz="1"/>
              <w:right w:val="single" w:color="999999" w:sz="1"/>
            </w:tcBorders>
          </w:tcPr>
          <w:p>
            <w:r>
              <w:t xml:space="preserve">Overflow extends</w:t>
            </w:r>
          </w:p>
        </w:tc>
      </w:tr>
      <w:tr>
        <w:tc>
          <w:tcPr>
            <w:tcW w:type="dxa" w:w="3120"/>
            <w:tcBorders>
              <w:top w:val="single" w:color="999999" w:sz="1"/>
              <w:left w:val="single" w:color="999999" w:sz="1"/>
              <w:bottom w:val="single" w:color="999999" w:sz="1"/>
              <w:right w:val="single" w:color="999999" w:sz="1"/>
            </w:tcBorders>
          </w:tcPr>
          <w:p>
            <w:r>
              <w:t xml:space="preserve">遠曰反</w:t>
            </w:r>
          </w:p>
        </w:tc>
        <w:tc>
          <w:tcPr>
            <w:tcW w:type="dxa" w:w="2000"/>
            <w:tcBorders>
              <w:top w:val="single" w:color="999999" w:sz="1"/>
              <w:left w:val="single" w:color="999999" w:sz="1"/>
              <w:bottom w:val="single" w:color="999999" w:sz="1"/>
              <w:right w:val="single" w:color="999999" w:sz="1"/>
            </w:tcBorders>
          </w:tcPr>
          <w:p>
            <w:r>
              <w:t xml:space="preserve">yuǎn yuē fǎn</w:t>
            </w:r>
          </w:p>
        </w:tc>
        <w:tc>
          <w:tcPr>
            <w:tcW w:type="dxa" w:w="4240"/>
            <w:tcBorders>
              <w:top w:val="single" w:color="999999" w:sz="1"/>
              <w:left w:val="single" w:color="999999" w:sz="1"/>
              <w:bottom w:val="single" w:color="999999" w:sz="1"/>
              <w:right w:val="single" w:color="999999" w:sz="1"/>
            </w:tcBorders>
          </w:tcPr>
          <w:p>
            <w:r>
              <w:t xml:space="preserve">Extension yields opposition</w:t>
            </w:r>
          </w:p>
        </w:tc>
      </w:tr>
    </w:tbl>
    <w:p>
      <w:pPr>
        <w:spacing w:after="200"/>
      </w:pPr>
    </w:p>
    <w:p>
      <w:pPr>
        <w:spacing w:after="200"/>
      </w:pPr>
      <w:r>
        <w:t xml:space="preserve">遠曰反 does not mean "far leads to return." It means "extension yields opposition." As far as you can conceptually go in one direction IS the opposite pole—not because space curved you back, but because direction implies its opposite. The opposite exists because you exist. It is π radians away not in distance but in structure.</w:t>
      </w:r>
    </w:p>
    <w:p>
      <w:pPr>
        <w:pStyle w:val="Heading2"/>
      </w:pPr>
      <w:r>
        <w:t xml:space="preserve">The Magnetic Field Analogy</w:t>
      </w:r>
    </w:p>
    <w:p>
      <w:pPr>
        <w:spacing w:after="200"/>
      </w:pPr>
      <w:r>
        <w:t xml:space="preserve">Every point in a magnetic field has polarity. It has an opposite. The field extends infinitely, but opposition is local and structural. You do not travel to the opposite pole; the opposite pole exists because you exist. It is π radians away—not π distance, but π rotation.</w:t>
      </w:r>
    </w:p>
    <w:p>
      <w:pPr>
        <w:spacing w:after="200"/>
      </w:pPr>
      <w:r>
        <w:t xml:space="preserve">This is the geometry encoded in 反者道之動也 (Chapter 40): "Polarity is pattern's movement." The fundamental dynamic is not oscillation (bouncing between poles) but co-emergence (each pole defining the other). What looks like oscillation from inside the system is polarity seen from a limited frame.</w:t>
      </w:r>
    </w:p>
    <w:p>
      <w:pPr>
        <w:pStyle w:val="Heading2"/>
      </w:pPr>
      <w:r>
        <w:t xml:space="preserve">Frame Relativity</w:t>
      </w:r>
    </w:p>
    <w:p>
      <w:pPr>
        <w:spacing w:after="200"/>
      </w:pPr>
      <w:r>
        <w:t xml:space="preserve">This principle resolves through frame relativity:</w:t>
      </w:r>
    </w:p>
    <w:p>
      <w:pPr>
        <w:spacing w:after="200"/>
      </w:pPr>
      <w:r>
        <w:rPr>
          <w:b/>
          <w:bCs/>
        </w:rPr>
        <w:t xml:space="preserve">From your frame: </w:t>
      </w:r>
      <w:r>
        <w:t xml:space="preserve">You are at origin. 遠 extends outward. 反 is the opposite pole (π radians). The opposite pole is defined BY your origin.</w:t>
      </w:r>
    </w:p>
    <w:p>
      <w:pPr>
        <w:spacing w:after="200"/>
      </w:pPr>
      <w:r>
        <w:rPr>
          <w:b/>
          <w:bCs/>
        </w:rPr>
        <w:t xml:space="preserve">From their frame (at what you call 反): </w:t>
      </w:r>
      <w:r>
        <w:t xml:space="preserve">They are at origin. 遠 extends outward. 反 is YOU (π radians from them). You are their opposite.</w:t>
      </w:r>
    </w:p>
    <w:p>
      <w:pPr>
        <w:spacing w:after="200"/>
      </w:pPr>
      <w:r>
        <w:t xml:space="preserve">Everyone is at center. Everyone has an opposite. The infinite field allows this without contradiction because there is no absolute position—only relational structure.</w:t>
      </w:r>
    </w:p>
    <w:p>
      <w:pPr>
        <w:pStyle w:val="Heading2"/>
      </w:pPr>
      <w:r>
        <w:t xml:space="preserve">The Four Infinities Revisited</w:t>
      </w:r>
    </w:p>
    <w:p>
      <w:pPr>
        <w:spacing w:after="200"/>
      </w:pPr>
      <w:r>
        <w:t xml:space="preserve">Chapter 25 declares: 道大，天大，地大，王亦大 ("Pattern infinite, heaven infinite, earth infinite, conscious agent also infinite"). These are four infinite frames, each one at its own center, creating its own coordinate system, having its own opposite pole, defined relative to the others.</w:t>
      </w:r>
    </w:p>
    <w:p>
      <w:pPr>
        <w:spacing w:after="200"/>
      </w:pPr>
      <w:r>
        <w:t xml:space="preserve">王居其一焉 ("The conscious agent occupies one of them") does not mean the observer watches from outside. The observer IS one of the poles, defining and defined by the others.</w:t>
      </w:r>
    </w:p>
    <w:p>
      <w:pPr>
        <w:pStyle w:val="Heading2"/>
      </w:pPr>
      <w:r>
        <w:t xml:space="preserve">The Generative Sequence (Chapter 42)</w:t>
      </w:r>
    </w:p>
    <w:p>
      <w:pPr>
        <w:spacing w:after="200"/>
      </w:pPr>
      <w:r>
        <w:t xml:space="preserve">The text presents a famous sequence: 道生一，一生二，二生三，三生萬物 ("Pattern generates one, one generates two, two generates three, three generates the ten thousand things"). Traditional readings interpret this as a linear, temporal creation myth. Structural analysis reveals that 生 (shēng) means "co-emergence" or "mutual arising," describing a necessary and simultaneous process of dimensional emergence.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1"/>
              <w:left w:val="single" w:color="999999" w:sz="1"/>
              <w:bottom w:val="single" w:color="999999" w:sz="1"/>
              <w:right w:val="single" w:color="999999" w:sz="1"/>
            </w:tcBorders>
            <w:shd w:fill="E8E8E8" w:val="clear"/>
          </w:tcPr>
          <w:p>
            <w:r>
              <w:rPr>
                <w:b/>
                <w:bCs/>
              </w:rPr>
              <w:t xml:space="preserve">Stage</w:t>
            </w:r>
          </w:p>
        </w:tc>
        <w:tc>
          <w:tcPr>
            <w:tcW w:type="dxa" w:w="3000"/>
            <w:tcBorders>
              <w:top w:val="single" w:color="999999" w:sz="1"/>
              <w:left w:val="single" w:color="999999" w:sz="1"/>
              <w:bottom w:val="single" w:color="999999" w:sz="1"/>
              <w:right w:val="single" w:color="999999" w:sz="1"/>
            </w:tcBorders>
            <w:shd w:fill="E8E8E8" w:val="clear"/>
          </w:tcPr>
          <w:p>
            <w:r>
              <w:rPr>
                <w:b/>
                <w:bCs/>
              </w:rPr>
              <w:t xml:space="preserve">What Emerges</w:t>
            </w:r>
          </w:p>
        </w:tc>
        <w:tc>
          <w:tcPr>
            <w:tcW w:type="dxa" w:w="4860"/>
            <w:tcBorders>
              <w:top w:val="single" w:color="999999" w:sz="1"/>
              <w:left w:val="single" w:color="999999" w:sz="1"/>
              <w:bottom w:val="single" w:color="999999" w:sz="1"/>
              <w:right w:val="single" w:color="999999" w:sz="1"/>
            </w:tcBorders>
            <w:shd w:fill="E8E8E8" w:val="clear"/>
          </w:tcPr>
          <w:p>
            <w:r>
              <w:rPr>
                <w:b/>
                <w:bCs/>
              </w:rPr>
              <w:t xml:space="preserve">Structural Meaning</w:t>
            </w:r>
          </w:p>
        </w:tc>
      </w:tr>
      <w:tr>
        <w:tc>
          <w:tcPr>
            <w:tcW w:type="dxa" w:w="1500"/>
            <w:tcBorders>
              <w:top w:val="single" w:color="999999" w:sz="1"/>
              <w:left w:val="single" w:color="999999" w:sz="1"/>
              <w:bottom w:val="single" w:color="999999" w:sz="1"/>
              <w:right w:val="single" w:color="999999" w:sz="1"/>
            </w:tcBorders>
          </w:tcPr>
          <w:p>
            <w:r>
              <w:t xml:space="preserve">一 (one)</w:t>
            </w:r>
          </w:p>
        </w:tc>
        <w:tc>
          <w:tcPr>
            <w:tcW w:type="dxa" w:w="3000"/>
            <w:tcBorders>
              <w:top w:val="single" w:color="999999" w:sz="1"/>
              <w:left w:val="single" w:color="999999" w:sz="1"/>
              <w:bottom w:val="single" w:color="999999" w:sz="1"/>
              <w:right w:val="single" w:color="999999" w:sz="1"/>
            </w:tcBorders>
          </w:tcPr>
          <w:p>
            <w:r>
              <w:t xml:space="preserve">Distinction</w:t>
            </w:r>
          </w:p>
        </w:tc>
        <w:tc>
          <w:tcPr>
            <w:tcW w:type="dxa" w:w="4860"/>
            <w:tcBorders>
              <w:top w:val="single" w:color="999999" w:sz="1"/>
              <w:left w:val="single" w:color="999999" w:sz="1"/>
              <w:bottom w:val="single" w:color="999999" w:sz="1"/>
              <w:right w:val="single" w:color="999999" w:sz="1"/>
            </w:tcBorders>
          </w:tcPr>
          <w:p>
            <w:r>
              <w:t xml:space="preserve">A reference point establishes coordinate system</w:t>
            </w:r>
          </w:p>
        </w:tc>
      </w:tr>
      <w:tr>
        <w:tc>
          <w:tcPr>
            <w:tcW w:type="dxa" w:w="1500"/>
            <w:tcBorders>
              <w:top w:val="single" w:color="999999" w:sz="1"/>
              <w:left w:val="single" w:color="999999" w:sz="1"/>
              <w:bottom w:val="single" w:color="999999" w:sz="1"/>
              <w:right w:val="single" w:color="999999" w:sz="1"/>
            </w:tcBorders>
          </w:tcPr>
          <w:p>
            <w:r>
              <w:t xml:space="preserve">二 (two)</w:t>
            </w:r>
          </w:p>
        </w:tc>
        <w:tc>
          <w:tcPr>
            <w:tcW w:type="dxa" w:w="3000"/>
            <w:tcBorders>
              <w:top w:val="single" w:color="999999" w:sz="1"/>
              <w:left w:val="single" w:color="999999" w:sz="1"/>
              <w:bottom w:val="single" w:color="999999" w:sz="1"/>
              <w:right w:val="single" w:color="999999" w:sz="1"/>
            </w:tcBorders>
          </w:tcPr>
          <w:p>
            <w:r>
              <w:t xml:space="preserve">Polarity</w:t>
            </w:r>
          </w:p>
        </w:tc>
        <w:tc>
          <w:tcPr>
            <w:tcW w:type="dxa" w:w="4860"/>
            <w:tcBorders>
              <w:top w:val="single" w:color="999999" w:sz="1"/>
              <w:left w:val="single" w:color="999999" w:sz="1"/>
              <w:bottom w:val="single" w:color="999999" w:sz="1"/>
              <w:right w:val="single" w:color="999999" w:sz="1"/>
            </w:tcBorders>
          </w:tcPr>
          <w:p>
            <w:r>
              <w:t xml:space="preserve">Reference point creates its opposite (+1/-1)</w:t>
            </w:r>
          </w:p>
        </w:tc>
      </w:tr>
      <w:tr>
        <w:tc>
          <w:tcPr>
            <w:tcW w:type="dxa" w:w="1500"/>
            <w:tcBorders>
              <w:top w:val="single" w:color="999999" w:sz="1"/>
              <w:left w:val="single" w:color="999999" w:sz="1"/>
              <w:bottom w:val="single" w:color="999999" w:sz="1"/>
              <w:right w:val="single" w:color="999999" w:sz="1"/>
            </w:tcBorders>
          </w:tcPr>
          <w:p>
            <w:r>
              <w:t xml:space="preserve">三 (three)</w:t>
            </w:r>
          </w:p>
        </w:tc>
        <w:tc>
          <w:tcPr>
            <w:tcW w:type="dxa" w:w="3000"/>
            <w:tcBorders>
              <w:top w:val="single" w:color="999999" w:sz="1"/>
              <w:left w:val="single" w:color="999999" w:sz="1"/>
              <w:bottom w:val="single" w:color="999999" w:sz="1"/>
              <w:right w:val="single" w:color="999999" w:sz="1"/>
            </w:tcBorders>
          </w:tcPr>
          <w:p>
            <w:r>
              <w:t xml:space="preserve">Interaction field</w:t>
            </w:r>
          </w:p>
        </w:tc>
        <w:tc>
          <w:tcPr>
            <w:tcW w:type="dxa" w:w="4860"/>
            <w:tcBorders>
              <w:top w:val="single" w:color="999999" w:sz="1"/>
              <w:left w:val="single" w:color="999999" w:sz="1"/>
              <w:bottom w:val="single" w:color="999999" w:sz="1"/>
              <w:right w:val="single" w:color="999999" w:sz="1"/>
            </w:tcBorders>
          </w:tcPr>
          <w:p>
            <w:r>
              <w:t xml:space="preserve">Poles create gradient between them</w:t>
            </w:r>
          </w:p>
        </w:tc>
      </w:tr>
      <w:tr>
        <w:tc>
          <w:tcPr>
            <w:tcW w:type="dxa" w:w="1500"/>
            <w:tcBorders>
              <w:top w:val="single" w:color="999999" w:sz="1"/>
              <w:left w:val="single" w:color="999999" w:sz="1"/>
              <w:bottom w:val="single" w:color="999999" w:sz="1"/>
              <w:right w:val="single" w:color="999999" w:sz="1"/>
            </w:tcBorders>
          </w:tcPr>
          <w:p>
            <w:r>
              <w:t xml:space="preserve">萬物</w:t>
            </w:r>
          </w:p>
        </w:tc>
        <w:tc>
          <w:tcPr>
            <w:tcW w:type="dxa" w:w="3000"/>
            <w:tcBorders>
              <w:top w:val="single" w:color="999999" w:sz="1"/>
              <w:left w:val="single" w:color="999999" w:sz="1"/>
              <w:bottom w:val="single" w:color="999999" w:sz="1"/>
              <w:right w:val="single" w:color="999999" w:sz="1"/>
            </w:tcBorders>
          </w:tcPr>
          <w:p>
            <w:r>
              <w:t xml:space="preserve">All forms</w:t>
            </w:r>
          </w:p>
        </w:tc>
        <w:tc>
          <w:tcPr>
            <w:tcW w:type="dxa" w:w="4860"/>
            <w:tcBorders>
              <w:top w:val="single" w:color="999999" w:sz="1"/>
              <w:left w:val="single" w:color="999999" w:sz="1"/>
              <w:bottom w:val="single" w:color="999999" w:sz="1"/>
              <w:right w:val="single" w:color="999999" w:sz="1"/>
            </w:tcBorders>
          </w:tcPr>
          <w:p>
            <w:r>
              <w:t xml:space="preserve">Recursive elaboration within 3D structure</w:t>
            </w:r>
          </w:p>
        </w:tc>
      </w:tr>
    </w:tbl>
    <w:p>
      <w:pPr>
        <w:spacing w:after="200"/>
      </w:pPr>
    </w:p>
    <w:p>
      <w:pPr>
        <w:spacing w:after="200"/>
      </w:pPr>
      <w:r>
        <w:t xml:space="preserve">The sequence stops at three and proceeds directly to "ten thousand things" because three dimensions are necessary and sufficient for stable structure. This is not temporal history but logical dependency—what requires what to be coherent. They all exist together, always.</w:t>
      </w:r>
    </w:p>
    <w:p>
      <w:pPr>
        <w:pStyle w:val="Heading2"/>
      </w:pPr>
      <w:r>
        <w:t xml:space="preserve">Euler's Identity and the DDJ</w:t>
      </w:r>
    </w:p>
    <w:p>
      <w:pPr>
        <w:spacing w:after="200"/>
      </w:pPr>
      <w:r>
        <w:t xml:space="preserve">The polarity principle finds precise parallel in Euler's Identity: e^(iπ) + 1 = 0. This formula is not arithmetic but topological: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rPr>
          <w:tblHeader/>
        </w:trPr>
        <w:tc>
          <w:tcPr>
            <w:tcW w:type="dxa" w:w="1200"/>
            <w:tcBorders>
              <w:top w:val="single" w:color="999999" w:sz="1"/>
              <w:left w:val="single" w:color="999999" w:sz="1"/>
              <w:bottom w:val="single" w:color="999999" w:sz="1"/>
              <w:right w:val="single" w:color="999999" w:sz="1"/>
            </w:tcBorders>
            <w:shd w:fill="E8E8E8" w:val="clear"/>
          </w:tcPr>
          <w:p>
            <w:r>
              <w:rPr>
                <w:b/>
                <w:bCs/>
              </w:rPr>
              <w:t xml:space="preserve">Symbol</w:t>
            </w:r>
          </w:p>
        </w:tc>
        <w:tc>
          <w:tcPr>
            <w:tcW w:type="dxa" w:w="2000"/>
            <w:tcBorders>
              <w:top w:val="single" w:color="999999" w:sz="1"/>
              <w:left w:val="single" w:color="999999" w:sz="1"/>
              <w:bottom w:val="single" w:color="999999" w:sz="1"/>
              <w:right w:val="single" w:color="999999" w:sz="1"/>
            </w:tcBorders>
            <w:shd w:fill="E8E8E8" w:val="clear"/>
          </w:tcPr>
          <w:p>
            <w:r>
              <w:rPr>
                <w:b/>
                <w:bCs/>
              </w:rPr>
              <w:t xml:space="preserve">Operation</w:t>
            </w:r>
          </w:p>
        </w:tc>
        <w:tc>
          <w:tcPr>
            <w:tcW w:type="dxa" w:w="2000"/>
            <w:tcBorders>
              <w:top w:val="single" w:color="999999" w:sz="1"/>
              <w:left w:val="single" w:color="999999" w:sz="1"/>
              <w:bottom w:val="single" w:color="999999" w:sz="1"/>
              <w:right w:val="single" w:color="999999" w:sz="1"/>
            </w:tcBorders>
            <w:shd w:fill="E8E8E8" w:val="clear"/>
          </w:tcPr>
          <w:p>
            <w:r>
              <w:rPr>
                <w:b/>
                <w:bCs/>
              </w:rPr>
              <w:t xml:space="preserve">DDJ Term</w:t>
            </w:r>
          </w:p>
        </w:tc>
        <w:tc>
          <w:tcPr>
            <w:tcW w:type="dxa" w:w="4160"/>
            <w:tcBorders>
              <w:top w:val="single" w:color="999999" w:sz="1"/>
              <w:left w:val="single" w:color="999999" w:sz="1"/>
              <w:bottom w:val="single" w:color="999999" w:sz="1"/>
              <w:right w:val="single" w:color="999999" w:sz="1"/>
            </w:tcBorders>
            <w:shd w:fill="E8E8E8" w:val="clear"/>
          </w:tcPr>
          <w:p>
            <w:r>
              <w:rPr>
                <w:b/>
                <w:bCs/>
              </w:rPr>
              <w:t xml:space="preserve">Function</w:t>
            </w:r>
          </w:p>
        </w:tc>
      </w:tr>
      <w:tr>
        <w:tc>
          <w:tcPr>
            <w:tcW w:type="dxa" w:w="1200"/>
            <w:tcBorders>
              <w:top w:val="single" w:color="999999" w:sz="1"/>
              <w:left w:val="single" w:color="999999" w:sz="1"/>
              <w:bottom w:val="single" w:color="999999" w:sz="1"/>
              <w:right w:val="single" w:color="999999" w:sz="1"/>
            </w:tcBorders>
          </w:tcPr>
          <w:p>
            <w:r>
              <w:t xml:space="preserve">e</w:t>
            </w:r>
          </w:p>
        </w:tc>
        <w:tc>
          <w:tcPr>
            <w:tcW w:type="dxa" w:w="2000"/>
            <w:tcBorders>
              <w:top w:val="single" w:color="999999" w:sz="1"/>
              <w:left w:val="single" w:color="999999" w:sz="1"/>
              <w:bottom w:val="single" w:color="999999" w:sz="1"/>
              <w:right w:val="single" w:color="999999" w:sz="1"/>
            </w:tcBorders>
          </w:tcPr>
          <w:p>
            <w:r>
              <w:t xml:space="preserve">Continuous growth</w:t>
            </w:r>
          </w:p>
        </w:tc>
        <w:tc>
          <w:tcPr>
            <w:tcW w:type="dxa" w:w="2000"/>
            <w:tcBorders>
              <w:top w:val="single" w:color="999999" w:sz="1"/>
              <w:left w:val="single" w:color="999999" w:sz="1"/>
              <w:bottom w:val="single" w:color="999999" w:sz="1"/>
              <w:right w:val="single" w:color="999999" w:sz="1"/>
            </w:tcBorders>
          </w:tcPr>
          <w:p>
            <w:r>
              <w:t xml:space="preserve">潰/自然</w:t>
            </w:r>
          </w:p>
        </w:tc>
        <w:tc>
          <w:tcPr>
            <w:tcW w:type="dxa" w:w="4160"/>
            <w:tcBorders>
              <w:top w:val="single" w:color="999999" w:sz="1"/>
              <w:left w:val="single" w:color="999999" w:sz="1"/>
              <w:bottom w:val="single" w:color="999999" w:sz="1"/>
              <w:right w:val="single" w:color="999999" w:sz="1"/>
            </w:tcBorders>
          </w:tcPr>
          <w:p>
            <w:r>
              <w:t xml:space="preserve">Overflow, natural extension</w:t>
            </w:r>
          </w:p>
        </w:tc>
      </w:tr>
      <w:tr>
        <w:tc>
          <w:tcPr>
            <w:tcW w:type="dxa" w:w="1200"/>
            <w:tcBorders>
              <w:top w:val="single" w:color="999999" w:sz="1"/>
              <w:left w:val="single" w:color="999999" w:sz="1"/>
              <w:bottom w:val="single" w:color="999999" w:sz="1"/>
              <w:right w:val="single" w:color="999999" w:sz="1"/>
            </w:tcBorders>
          </w:tcPr>
          <w:p>
            <w:r>
              <w:t xml:space="preserve">i</w:t>
            </w:r>
          </w:p>
        </w:tc>
        <w:tc>
          <w:tcPr>
            <w:tcW w:type="dxa" w:w="2000"/>
            <w:tcBorders>
              <w:top w:val="single" w:color="999999" w:sz="1"/>
              <w:left w:val="single" w:color="999999" w:sz="1"/>
              <w:bottom w:val="single" w:color="999999" w:sz="1"/>
              <w:right w:val="single" w:color="999999" w:sz="1"/>
            </w:tcBorders>
          </w:tcPr>
          <w:p>
            <w:r>
              <w:t xml:space="preserve">Orthogonal rotation</w:t>
            </w:r>
          </w:p>
        </w:tc>
        <w:tc>
          <w:tcPr>
            <w:tcW w:type="dxa" w:w="2000"/>
            <w:tcBorders>
              <w:top w:val="single" w:color="999999" w:sz="1"/>
              <w:left w:val="single" w:color="999999" w:sz="1"/>
              <w:bottom w:val="single" w:color="999999" w:sz="1"/>
              <w:right w:val="single" w:color="999999" w:sz="1"/>
            </w:tcBorders>
          </w:tcPr>
          <w:p>
            <w:r>
              <w:t xml:space="preserve">遠</w:t>
            </w:r>
          </w:p>
        </w:tc>
        <w:tc>
          <w:tcPr>
            <w:tcW w:type="dxa" w:w="4160"/>
            <w:tcBorders>
              <w:top w:val="single" w:color="999999" w:sz="1"/>
              <w:left w:val="single" w:color="999999" w:sz="1"/>
              <w:bottom w:val="single" w:color="999999" w:sz="1"/>
              <w:right w:val="single" w:color="999999" w:sz="1"/>
            </w:tcBorders>
          </w:tcPr>
          <w:p>
            <w:r>
              <w:t xml:space="preserve">Extension into perpendicular dimension</w:t>
            </w:r>
          </w:p>
        </w:tc>
      </w:tr>
      <w:tr>
        <w:tc>
          <w:tcPr>
            <w:tcW w:type="dxa" w:w="1200"/>
            <w:tcBorders>
              <w:top w:val="single" w:color="999999" w:sz="1"/>
              <w:left w:val="single" w:color="999999" w:sz="1"/>
              <w:bottom w:val="single" w:color="999999" w:sz="1"/>
              <w:right w:val="single" w:color="999999" w:sz="1"/>
            </w:tcBorders>
          </w:tcPr>
          <w:p>
            <w:r>
              <w:t xml:space="preserve">π</w:t>
            </w:r>
          </w:p>
        </w:tc>
        <w:tc>
          <w:tcPr>
            <w:tcW w:type="dxa" w:w="2000"/>
            <w:tcBorders>
              <w:top w:val="single" w:color="999999" w:sz="1"/>
              <w:left w:val="single" w:color="999999" w:sz="1"/>
              <w:bottom w:val="single" w:color="999999" w:sz="1"/>
              <w:right w:val="single" w:color="999999" w:sz="1"/>
            </w:tcBorders>
          </w:tcPr>
          <w:p>
            <w:r>
              <w:t xml:space="preserve">Half-turn</w:t>
            </w:r>
          </w:p>
        </w:tc>
        <w:tc>
          <w:tcPr>
            <w:tcW w:type="dxa" w:w="2000"/>
            <w:tcBorders>
              <w:top w:val="single" w:color="999999" w:sz="1"/>
              <w:left w:val="single" w:color="999999" w:sz="1"/>
              <w:bottom w:val="single" w:color="999999" w:sz="1"/>
              <w:right w:val="single" w:color="999999" w:sz="1"/>
            </w:tcBorders>
          </w:tcPr>
          <w:p>
            <w:r>
              <w:t xml:space="preserve">反</w:t>
            </w:r>
          </w:p>
        </w:tc>
        <w:tc>
          <w:tcPr>
            <w:tcW w:type="dxa" w:w="4160"/>
            <w:tcBorders>
              <w:top w:val="single" w:color="999999" w:sz="1"/>
              <w:left w:val="single" w:color="999999" w:sz="1"/>
              <w:bottom w:val="single" w:color="999999" w:sz="1"/>
              <w:right w:val="single" w:color="999999" w:sz="1"/>
            </w:tcBorders>
          </w:tcPr>
          <w:p>
            <w:r>
              <w:t xml:space="preserve">Arriving at opposite pole</w:t>
            </w:r>
          </w:p>
        </w:tc>
      </w:tr>
      <w:tr>
        <w:tc>
          <w:tcPr>
            <w:tcW w:type="dxa" w:w="1200"/>
            <w:tcBorders>
              <w:top w:val="single" w:color="999999" w:sz="1"/>
              <w:left w:val="single" w:color="999999" w:sz="1"/>
              <w:bottom w:val="single" w:color="999999" w:sz="1"/>
              <w:right w:val="single" w:color="999999" w:sz="1"/>
            </w:tcBorders>
          </w:tcPr>
          <w:p>
            <w:r>
              <w:t xml:space="preserve">-1</w:t>
            </w:r>
          </w:p>
        </w:tc>
        <w:tc>
          <w:tcPr>
            <w:tcW w:type="dxa" w:w="2000"/>
            <w:tcBorders>
              <w:top w:val="single" w:color="999999" w:sz="1"/>
              <w:left w:val="single" w:color="999999" w:sz="1"/>
              <w:bottom w:val="single" w:color="999999" w:sz="1"/>
              <w:right w:val="single" w:color="999999" w:sz="1"/>
            </w:tcBorders>
          </w:tcPr>
          <w:p>
            <w:r>
              <w:t xml:space="preserve">The opposite</w:t>
            </w:r>
          </w:p>
        </w:tc>
        <w:tc>
          <w:tcPr>
            <w:tcW w:type="dxa" w:w="2000"/>
            <w:tcBorders>
              <w:top w:val="single" w:color="999999" w:sz="1"/>
              <w:left w:val="single" w:color="999999" w:sz="1"/>
              <w:bottom w:val="single" w:color="999999" w:sz="1"/>
              <w:right w:val="single" w:color="999999" w:sz="1"/>
            </w:tcBorders>
          </w:tcPr>
          <w:p>
            <w:r>
              <w:t xml:space="preserve">—</w:t>
            </w:r>
          </w:p>
        </w:tc>
        <w:tc>
          <w:tcPr>
            <w:tcW w:type="dxa" w:w="4160"/>
            <w:tcBorders>
              <w:top w:val="single" w:color="999999" w:sz="1"/>
              <w:left w:val="single" w:color="999999" w:sz="1"/>
              <w:bottom w:val="single" w:color="999999" w:sz="1"/>
              <w:right w:val="single" w:color="999999" w:sz="1"/>
            </w:tcBorders>
          </w:tcPr>
          <w:p>
            <w:r>
              <w:t xml:space="preserve">Structural inverse of origin</w:t>
            </w:r>
          </w:p>
        </w:tc>
      </w:tr>
      <w:tr>
        <w:tc>
          <w:tcPr>
            <w:tcW w:type="dxa" w:w="1200"/>
            <w:tcBorders>
              <w:top w:val="single" w:color="999999" w:sz="1"/>
              <w:left w:val="single" w:color="999999" w:sz="1"/>
              <w:bottom w:val="single" w:color="999999" w:sz="1"/>
              <w:right w:val="single" w:color="999999" w:sz="1"/>
            </w:tcBorders>
          </w:tcPr>
          <w:p>
            <w:r>
              <w:t xml:space="preserve">+1 = 0</w:t>
            </w:r>
          </w:p>
        </w:tc>
        <w:tc>
          <w:tcPr>
            <w:tcW w:type="dxa" w:w="2000"/>
            <w:tcBorders>
              <w:top w:val="single" w:color="999999" w:sz="1"/>
              <w:left w:val="single" w:color="999999" w:sz="1"/>
              <w:bottom w:val="single" w:color="999999" w:sz="1"/>
              <w:right w:val="single" w:color="999999" w:sz="1"/>
            </w:tcBorders>
          </w:tcPr>
          <w:p>
            <w:r>
              <w:t xml:space="preserve">Closure</w:t>
            </w:r>
          </w:p>
        </w:tc>
        <w:tc>
          <w:tcPr>
            <w:tcW w:type="dxa" w:w="2000"/>
            <w:tcBorders>
              <w:top w:val="single" w:color="999999" w:sz="1"/>
              <w:left w:val="single" w:color="999999" w:sz="1"/>
              <w:bottom w:val="single" w:color="999999" w:sz="1"/>
              <w:right w:val="single" w:color="999999" w:sz="1"/>
            </w:tcBorders>
          </w:tcPr>
          <w:p>
            <w:r>
              <w:t xml:space="preserve">無</w:t>
            </w:r>
          </w:p>
        </w:tc>
        <w:tc>
          <w:tcPr>
            <w:tcW w:type="dxa" w:w="4160"/>
            <w:tcBorders>
              <w:top w:val="single" w:color="999999" w:sz="1"/>
              <w:left w:val="single" w:color="999999" w:sz="1"/>
              <w:bottom w:val="single" w:color="999999" w:sz="1"/>
              <w:right w:val="single" w:color="999999" w:sz="1"/>
            </w:tcBorders>
          </w:tcPr>
          <w:p>
            <w:r>
              <w:t xml:space="preserve">Adding unity returns to void</w:t>
            </w:r>
          </w:p>
        </w:tc>
      </w:tr>
    </w:tbl>
    <w:p>
      <w:pPr>
        <w:spacing w:after="200"/>
      </w:pPr>
    </w:p>
    <w:p>
      <w:pPr>
        <w:spacing w:after="200"/>
      </w:pPr>
      <w:r>
        <w:t xml:space="preserve">The formula states: grow continuously (e), extend orthogonally (i), rotate halfway (π), and you are at the opposite pole (-1). This is not "going around and coming back." This is polarity: the -1 exists because the 1 exists. They are co-emergent.</w:t>
      </w:r>
    </w:p>
    <w:p>
      <w:pPr>
        <w:pStyle w:val="Heading2"/>
      </w:pPr>
      <w:r>
        <w:t xml:space="preserve">The Grounding Principle (Chapter 25)</w:t>
      </w:r>
    </w:p>
    <w:p>
      <w:pPr>
        <w:spacing w:after="200"/>
      </w:pPr>
      <w:r>
        <w:t xml:space="preserve">The chapter concludes with the ultimate principle of self-organization: 人法地，地法天，天法道，道法自然. The character 法 (fǎ) is typically translated as "follows," implying a hierarchy. A structural reading interprets 法 as "recurses within." The sequence describes nested frames of operation.</w:t>
      </w:r>
    </w:p>
    <w:p>
      <w:pPr>
        <w:spacing w:after="200"/>
      </w:pPr>
      <w:r>
        <w:t xml:space="preserve">The final clause, 道法自然 ("Pattern recurses within its own nature"), is the definition of a self-organizing, self-grounding system. The pattern requires no external reference or creator; its operation is grounded in its own intrinsic geometry.</w:t>
      </w:r>
    </w:p>
    <w:p>
      <w:pPr>
        <w:pStyle w:val="Heading1"/>
      </w:pPr>
      <w:r>
        <w:t xml:space="preserve">7. Discussion: Implications of a Structural Reinterpretation</w:t>
      </w:r>
    </w:p>
    <w:p>
      <w:pPr>
        <w:spacing w:after="200"/>
      </w:pPr>
      <w:r>
        <w:t xml:space="preserve">Rereading the </w:t>
      </w:r>
      <w:r>
        <w:rPr>
          <w:i/>
          <w:iCs/>
        </w:rPr>
        <w:t xml:space="preserve">Dao De Jing</w:t>
      </w:r>
      <w:r>
        <w:t xml:space="preserve"> not as mystical philosophy but as a technical manual for recursive systems carries significant implications for a range of academic disciplines. It reframes the text's enduring value and challenges long-held assumptions about the nature of ancient Chinese thought and the function of its writing system.</w:t>
      </w:r>
    </w:p>
    <w:p>
      <w:pPr>
        <w:pStyle w:val="Heading2"/>
      </w:pPr>
      <w:r>
        <w:t xml:space="preserve">For Linguistics and Sinology</w:t>
      </w:r>
    </w:p>
    <w:p>
      <w:pPr>
        <w:spacing w:after="200"/>
      </w:pPr>
      <w:r>
        <w:t xml:space="preserve">This structural interpretation questions the adequacy of purely philosophical or literary approaches to classical Chinese texts. It suggests that the classical script may, in some contexts, function as a form of compressed engineering documentation. The analysis of radicals as encoding physical substrates and operators—a "substrate grammar"—proposes a new methodology for textual analysis that is grounded in the material culture and technological knowledge of the period. This approach could unlock new layers of meaning in other classical texts that have traditionally been read as abstract or metaphorical.</w:t>
      </w:r>
    </w:p>
    <w:p>
      <w:pPr>
        <w:pStyle w:val="Heading2"/>
      </w:pPr>
      <w:r>
        <w:t xml:space="preserve">For Philosophy</w:t>
      </w:r>
    </w:p>
    <w:p>
      <w:pPr>
        <w:spacing w:after="200"/>
      </w:pPr>
      <w:r>
        <w:t xml:space="preserve">The structural reading offers a sharp contrast to traditional metaphysical interpretations of "Tao" as an ineffable, mystical absolute. In this framework, the Dao is not a transcendent entity to be believed in, but an observable, functional pattern of system dynamics. The text shifts from being about what to believe to how to observe. Its "wisdom" is not a set of moral prescriptions but a series of instructions for aligning with the observable geometry of how systems persist. This moves the text from the realm of metaphysics to the domain of what could be called an ancient systems science.</w:t>
      </w:r>
    </w:p>
    <w:p>
      <w:pPr>
        <w:pStyle w:val="Heading2"/>
      </w:pPr>
      <w:r>
        <w:t xml:space="preserve">For Systems Theory</w:t>
      </w:r>
    </w:p>
    <w:p>
      <w:pPr>
        <w:spacing w:after="200"/>
      </w:pPr>
      <w:r>
        <w:t xml:space="preserve">This reinterpretation posits that the </w:t>
      </w:r>
      <w:r>
        <w:rPr>
          <w:i/>
          <w:iCs/>
        </w:rPr>
        <w:t xml:space="preserve">Dao De Jing</w:t>
      </w:r>
      <w:r>
        <w:t xml:space="preserve"> represents a sophisticated, ancient documentation of the core principles of modern systems theory, including recursion, self-organization, and emergent complexity. Concepts that have been central to its philosophical reading take on new, precise technical meanings:</w:t>
      </w:r>
    </w:p>
    <w:p>
      <w:pPr>
        <w:spacing w:after="200"/>
      </w:pPr>
      <w:r>
        <w:rPr>
          <w:b/>
          <w:bCs/>
        </w:rPr>
        <w:t xml:space="preserve">The "hollow center" (無): </w:t>
      </w:r>
      <w:r>
        <w:t xml:space="preserve">This is not an abstract nothingness but a functional void—the un-occupied hub of a wheel or the generative space within a system that enables circulation and function.</w:t>
      </w:r>
    </w:p>
    <w:p>
      <w:pPr>
        <w:spacing w:after="200"/>
      </w:pPr>
      <w:r>
        <w:rPr>
          <w:b/>
          <w:bCs/>
        </w:rPr>
        <w:t xml:space="preserve">"Non-forcing action" (無為): </w:t>
      </w:r>
      <w:r>
        <w:t xml:space="preserve">This is not passivity but an advanced principle of systems engineering, given the precise operational formula 輔萬物之自然 ("assisting the self-so-ness of all things"). It describes how to achieve outcomes by creating the conditions for self-organization rather than imposing direct control, transforming an ethical ideal into a specific engineering strategy.</w:t>
      </w:r>
    </w:p>
    <w:p>
      <w:pPr>
        <w:spacing w:after="200"/>
      </w:pPr>
      <w:r>
        <w:rPr>
          <w:b/>
          <w:bCs/>
        </w:rPr>
        <w:t xml:space="preserve">Polarity (反): </w:t>
      </w:r>
      <w:r>
        <w:t xml:space="preserve">This is not cyclical return but the structural co-emergence of opposites. The fundamental dynamic of reality is not oscillation but polarity—the +1 and -1 arising together, defining each other, maintaining the system through their structural relationship.</w:t>
      </w:r>
    </w:p>
    <w:p>
      <w:pPr>
        <w:spacing w:after="200"/>
      </w:pPr>
      <w:r>
        <w:t xml:space="preserve">The text can be seen as an early, highly robust formulation of the principles that govern all complex adaptive systems, from biological ecosystems to social organizations. Its survival for 2,500 years may be attributed not to the appeal of its mystical wisdom, but to the sheer accuracy of its documentation of how reality works.</w:t>
      </w:r>
    </w:p>
    <w:p>
      <w:pPr>
        <w:pStyle w:val="Heading1"/>
      </w:pPr>
      <w:r>
        <w:t xml:space="preserve">8. Conclusion</w:t>
      </w:r>
    </w:p>
    <w:p>
      <w:pPr>
        <w:spacing w:after="200"/>
      </w:pPr>
      <w:r>
        <w:t xml:space="preserve">This paper has advanced the thesis that the </w:t>
      </w:r>
      <w:r>
        <w:rPr>
          <w:i/>
          <w:iCs/>
        </w:rPr>
        <w:t xml:space="preserve">Dao De Jing</w:t>
      </w:r>
      <w:r>
        <w:t xml:space="preserve">, long revered as a cornerstone of mystical philosophy, is more accurately understood as a technical manual for a recursive, self-organizing system. We have moved beyond traditional interpretive frameworks to present a structural reading grounded in linguistic evidence, geometric principles, and the technological context of ancient China.</w:t>
      </w:r>
    </w:p>
    <w:p>
      <w:pPr>
        <w:spacing w:after="200"/>
      </w:pPr>
      <w:r>
        <w:t xml:space="preserve">The pillars of this argument are fourfold. First, the text's vocabulary constitutes an operational grammar, where characters and their radical components encode physical transformations of specific substrates. Second, the opening chapter establishes not a mystical premise but an operational coordinate system for observing reality through distinct axes and orthogonal modes of perception. Third, the principles derived from the text find direct validation in the physical processes of ancient technologies—the bimetallic bronze swords of the Wu and Yue states, the perpendicular geometry of the loom, the hydraulic engineering of irrigation—which served as laboratories for discovering the fundamental geometry of persistence. Fourth, the core dynamic encoded in Chapter 25 is not cyclical return but structural polarity—the co-emergence of opposition that occurs whenever a distinction is made in an infinite field.</w:t>
      </w:r>
    </w:p>
    <w:p>
      <w:pPr>
        <w:spacing w:after="200"/>
      </w:pPr>
      <w:r>
        <w:t xml:space="preserve">This final point is critical. Traditional readings assumed that 反 meant return—going out and coming back, a temporal process of cyclical oscillation. The Guodian manuscripts, combined with structural analysis, reveal something more fundamental: 反 encodes the polarity that co-emerges with any distinction. The -1 exists because the +1 exists. This is not poetry but geometry: the same structure encoded in Euler's Identity, in magnetic fields, in every coordinate system that distinguishes here from there.</w:t>
      </w:r>
    </w:p>
    <w:p>
      <w:pPr>
        <w:spacing w:after="200"/>
      </w:pPr>
      <w:r>
        <w:t xml:space="preserve">The connection between the text and its technological context is not coincidental but causal. The Sword of Goujian—forged by Wu-Yue smiths who understood that blades require both hard edges and yielding spines to persist—was buried in a Chu tomb in the same region that would produce the Guodian manuscripts. The </w:t>
      </w:r>
      <w:r>
        <w:rPr>
          <w:i/>
          <w:iCs/>
        </w:rPr>
        <w:t xml:space="preserve">Kaogongji</w:t>
      </w:r>
      <w:r>
        <w:t xml:space="preserve">—an explicit technical manual recording the "Six Recipes" for bronze alloys—was compiled in the same period and preserved through the same cultural channels. The </w:t>
      </w:r>
      <w:r>
        <w:rPr>
          <w:i/>
          <w:iCs/>
        </w:rPr>
        <w:t xml:space="preserve">Dao De Jing</w:t>
      </w:r>
      <w:r>
        <w:t xml:space="preserve"> is not an outlier but a member of a genre: compressed documentation of principles discovered through sustained observation and practice.</w:t>
      </w:r>
    </w:p>
    <w:p>
      <w:pPr>
        <w:spacing w:after="200"/>
      </w:pPr>
      <w:r>
        <w:t xml:space="preserve">Ultimately, the </w:t>
      </w:r>
      <w:r>
        <w:rPr>
          <w:i/>
          <w:iCs/>
        </w:rPr>
        <w:t xml:space="preserve">Dao De Jing</w:t>
      </w:r>
      <w:r>
        <w:t xml:space="preserve"> endures not because it is esoteric, but because it is accurate. It is a compact, redundant, and highly robust instruction set for building, managing, and repairing stable systems. It is, in essence, a "seed vault for civilization," containing not moral platitudes or spiritual comforts, but the fundamental, self-grounding algorithm for how reality organizes and perpetuates itself.</w:t>
      </w:r>
    </w:p>
    <w:p>
      <w:pPr>
        <w:spacing w:after="200"/>
      </w:pPr>
      <w:r>
        <w:t xml:space="preserve">The geometry was always in the characters. We just forgot how to read the radicals.</w:t>
      </w:r>
    </w:p>
    <w:p>
      <w:pPr>
        <w:spacing w:after="200"/>
      </w:pPr>
    </w:p>
    <w:p>
      <w:pPr>
        <w:spacing w:after="200"/>
      </w:pPr>
      <w:r>
        <w:rPr>
          <w:b/>
          <w:bCs/>
        </w:rPr>
        <w:t xml:space="preserve">Archaeological Note: </w:t>
      </w:r>
      <w:r>
        <w:t xml:space="preserve">All claims regarding the Guodian manuscripts are based on scholarly analysis of the bamboo slips excavated from Guodian Tomb No. 1, Jingmen, Hubei Province, dated to approximately 300 BCE. The variant 潰 for 逝 in Chapter 25 represents a significant textual divergence with geometric implications for the interpretation of 反. Claims regarding bimetallic bronze swords are based on metallurgical analysis of artifacts excavated from tombs in the Chu cultural sphere, including the Sword of Goujian (Hubei Provincial Museum) and related specimens documented in peer-reviewed archaeological literature.</w:t>
      </w:r>
    </w:p>
    <w:p>
      <w:pPr>
        <w:spacing w:after="400"/>
      </w:pPr>
    </w:p>
    <w:p>
      <w:pPr>
        <w:spacing w:before="200" w:after="100"/>
        <w:jc w:val="center"/>
      </w:pPr>
      <w:r>
        <w:t xml:space="preserve">* * *</w:t>
      </w:r>
    </w:p>
    <w:p>
      <w:pPr>
        <w:spacing w:after="100"/>
        <w:jc w:val="center"/>
      </w:pPr>
      <w:r>
        <w:rPr>
          <w:i/>
          <w:iCs/>
        </w:rPr>
        <w:t xml:space="preserve">反者道之動也。弱者道之用也。</w:t>
      </w:r>
    </w:p>
    <w:p>
      <w:pPr>
        <w:spacing w:after="100"/>
        <w:jc w:val="center"/>
      </w:pPr>
      <w:r>
        <w:rPr>
          <w:i/>
          <w:iCs/>
        </w:rPr>
        <w:t xml:space="preserve">Polarity is pattern's movement. Yielding is pattern's function.</w:t>
      </w:r>
    </w:p>
    <w:p>
      <w:pPr>
        <w:jc w:val="center"/>
      </w:pPr>
      <w:r>
        <w:t xml:space="preserve">—Chapter 40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The Loom and the Forge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sz w:val="48"/>
      <w:szCs w:val="48"/>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2025-12-07T18:25:46.925Z</dcterms:created>
  <dcterms:modified xsi:type="dcterms:W3CDTF">2025-12-07T18:25:46.925Z</dcterms:modified>
</cp:coreProperties>
</file>

<file path=docProps/custom.xml><?xml version="1.0" encoding="utf-8"?>
<Properties xmlns="http://schemas.openxmlformats.org/officeDocument/2006/custom-properties" xmlns:vt="http://schemas.openxmlformats.org/officeDocument/2006/docPropsVTypes"/>
</file>