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f1e17b69e1ba8f7355b6bd5c8e7df6004275a6"/>
    <w:p>
      <w:pPr>
        <w:pStyle w:val="Heading1"/>
      </w:pPr>
      <w:r>
        <w:t xml:space="preserve">The Recursive Structural Model of Reality:</w:t>
      </w:r>
    </w:p>
    <w:bookmarkStart w:id="20" w:name="X80a7e8ba7167ba028966e0e6ff58c4fe7da941c"/>
    <w:p>
      <w:pPr>
        <w:pStyle w:val="Heading3"/>
      </w:pPr>
      <w:r>
        <w:t xml:space="preserve">A Field-Theoretic Framework for Scale-Invariant Information Processing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Recursive Structural Model (RSM) explains how reality maintains coherent structure under infinite divisibility. Everyday examples illustrate this principle: a spinning top remains upright only through motion; a planet sustains orbit through circulation; a microscope requires more energy to reveal finer detail. Each demonstrates the trade-off between circulation and energy that stabilizes structure.</w:t>
      </w:r>
    </w:p>
    <w:p>
      <w:pPr>
        <w:pStyle w:val="BodyText"/>
      </w:pPr>
      <w:r>
        <w:t xml:space="preserve">RSM formalizes this as a proportional gradient field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defined by contrast (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) and dimensional axis 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) such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Within this field, a balance point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) and an origin frame (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) arise as necessary features. Absolute void (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) without not-void is structurally impossible; distinction emerges immediately, without sequence or agency. Information is reframed as relationships distributed across fields—always accurate, accessed with variable precision.</w:t>
      </w:r>
    </w:p>
    <w:p>
      <w:pPr>
        <w:pStyle w:val="BodyText"/>
      </w:pPr>
      <w:r>
        <w:t xml:space="preserve">RSM integrates with existing theories while remaining falsifiable through empirical tests. It offers an agentless substrate that generates the diversity of forms we observe.</w:t>
      </w:r>
    </w:p>
    <w:p>
      <w:pPr>
        <w:pStyle w:val="BodyText"/>
      </w:pPr>
      <w:r>
        <w:rPr>
          <w:b/>
          <w:bCs/>
        </w:rPr>
        <w:t xml:space="preserve">Preview of Oneness.</w:t>
      </w:r>
      <w:r>
        <w:t xml:space="preserve"> </w:t>
      </w:r>
      <w:r>
        <w:t xml:space="preserve">Later sections (Appendix A) describe oneness as orbit: at each scale, native circulation defines unity for that level. Introducing this here links technical field theory to its philosophical resonance—balance experienced as wholeness, whether in a breath, an orbit, or universal expansion.</w:t>
      </w:r>
    </w:p>
    <w:p>
      <w:r>
        <w:pict>
          <v:rect style="width:0;height:1.5pt" o:hralign="center" o:hrstd="t" o:hr="t"/>
        </w:pict>
      </w:r>
    </w:p>
    <w:bookmarkEnd w:id="21"/>
    <w:bookmarkStart w:id="22" w:name="glossary-of-core-variables"/>
    <w:p>
      <w:pPr>
        <w:pStyle w:val="Heading2"/>
      </w:pPr>
      <w:r>
        <w:t xml:space="preserve">1. Glossary of Core Variables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True Void (Unresolvable Paradox):</w:t>
      </w:r>
      <w:r>
        <w:t xml:space="preserve"> </w:t>
      </w:r>
      <w:r>
        <w:t xml:space="preserve">Absolute void without not-void is impossible. Naming void already defines not-void. Paradox is the structural origin.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Primary Gradient Field:</w:t>
      </w:r>
      <w:r>
        <w:t xml:space="preserve"> </w:t>
      </w:r>
      <w:r>
        <w:t xml:space="preserve">The minimal hyperbolic proportional structure: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∈</m:t>
          </m:r>
          <m:sSubSup>
            <m:e>
              <m:r>
                <m:rPr>
                  <m:sty m:val="p"/>
                  <m:scr m:val="double-struck"/>
                </m:rPr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Dimensionality Axis:</w:t>
      </w:r>
      <w:r>
        <w:t xml:space="preserve"> </w:t>
      </w:r>
      <w:r>
        <w:t xml:space="preserve">Expresses extension, asymptotic scaling.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Contrast Gradient:</w:t>
      </w:r>
      <w:r>
        <w:t xml:space="preserve"> </w:t>
      </w:r>
      <w:r>
        <w:t xml:space="preserve">Expresses distinction, differentiation.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Balance Point:</w:t>
      </w:r>
      <w:r>
        <w:t xml:space="preserve"> </w:t>
      </w:r>
      <w:r>
        <w:t xml:space="preserve">The locus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paradoxically necessary but unstable.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Origin Frame:</w:t>
      </w:r>
      <w:r>
        <w:t xml:space="preserve"> </w:t>
      </w:r>
      <w:r>
        <w:t xml:space="preserve">The vessel generated when paradox (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) is held open by circulation; the reference frame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Circulation:</w:t>
      </w:r>
      <w:r>
        <w:t xml:space="preserve"> </w:t>
      </w:r>
      <w:r>
        <w:t xml:space="preserve">Rotational turning that preserves paradox; energy, breath, or flow.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— Recursive Forms:</w:t>
      </w:r>
      <w:r>
        <w:t xml:space="preserve"> </w:t>
      </w:r>
      <w:r>
        <w:t xml:space="preserve">Higher-level emergent structures generated through iterative circulation.</w:t>
      </w:r>
    </w:p>
    <w:p>
      <w:r>
        <w:pict>
          <v:rect style="width:0;height:1.5pt" o:hralign="center" o:hrstd="t" o:hr="t"/>
        </w:pict>
      </w:r>
    </w:p>
    <w:bookmarkEnd w:id="22"/>
    <w:bookmarkStart w:id="26" w:name="minimal-structure-derivation"/>
    <w:p>
      <w:pPr>
        <w:pStyle w:val="Heading2"/>
      </w:pPr>
      <w:r>
        <w:t xml:space="preserve">2. Minimal Structure Derivation</w:t>
      </w:r>
    </w:p>
    <w:bookmarkStart w:id="23" w:name="from-paradox-to-gradient"/>
    <w:p>
      <w:pPr>
        <w:pStyle w:val="Heading3"/>
      </w:pPr>
      <w:r>
        <w:t xml:space="preserve">2.1 From Paradox to Gradient</w:t>
      </w:r>
    </w:p>
    <w:p>
      <w:pPr>
        <w:pStyle w:val="FirstParagraph"/>
      </w:pPr>
      <w:r>
        <w:t xml:space="preserve">Absolute void (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) collapses immediately into distinction: void implies not-void. No sequence, no cause—only co-emergence. The minimal non-collapsing structure is a proportional relation between dimension 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) and contrast (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).</w:t>
      </w:r>
    </w:p>
    <w:bookmarkEnd w:id="23"/>
    <w:bookmarkStart w:id="24" w:name="gradient-field-g_1"/>
    <w:p>
      <w:pPr>
        <w:pStyle w:val="Heading3"/>
      </w:pPr>
      <w:r>
        <w:t xml:space="preserve">2.2 Gradient Field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Plain explanation: imagine contrast and dimension as two sliders—when one increases, the other decreases so their product stays fixed.</w:t>
      </w:r>
    </w:p>
    <w:p>
      <w:pPr>
        <w:pStyle w:val="BodyText"/>
      </w:pPr>
      <w:r>
        <w:t xml:space="preserve">Formally: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∈</m:t>
          </m:r>
          <m:sSubSup>
            <m:e>
              <m:r>
                <m:rPr>
                  <m:sty m:val="p"/>
                  <m:scr m:val="double-struck"/>
                </m:rPr>
                <m:t>R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24"/>
    <w:bookmarkStart w:id="25" w:name="balance-and-origin"/>
    <w:p>
      <w:pPr>
        <w:pStyle w:val="Heading3"/>
      </w:pPr>
      <w:r>
        <w:t xml:space="preserve">2.3 Balance and Origin</w:t>
      </w:r>
    </w:p>
    <w:p>
      <w:pPr>
        <w:pStyle w:val="FirstParagraph"/>
      </w:pPr>
      <w:r>
        <w:t xml:space="preserve">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the fixed locus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defines the balance point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). Yet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exist alone—it co-emerges with an orienting reference, the origin frame (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Minimality check: linear, circular, or discrete forms collapse under infinite refinement. The hyperbolic proportional field uniquely avoids collapse.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tability-and-circulation"/>
    <w:p>
      <w:pPr>
        <w:pStyle w:val="Heading2"/>
      </w:pPr>
      <w:r>
        <w:t xml:space="preserve">3. Stability and Circulation</w:t>
      </w:r>
    </w:p>
    <w:bookmarkStart w:id="27" w:name="necessity-of-circulation"/>
    <w:p>
      <w:pPr>
        <w:pStyle w:val="Heading3"/>
      </w:pPr>
      <w:r>
        <w:t xml:space="preserve">3.1 Necessity of Circulation</w:t>
      </w:r>
    </w:p>
    <w:p>
      <w:pPr>
        <w:pStyle w:val="FirstParagraph"/>
      </w:pPr>
      <w:r>
        <w:t xml:space="preserve">A system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remain static—it must circulate to preserve paradox. The minimal stability operation is unimodular scaling: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↦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λ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λ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preserves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In logarithmic coordinates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ln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, this is a hyperbolic rotation about the balance condition.</w:t>
      </w:r>
    </w:p>
    <w:bookmarkEnd w:id="27"/>
    <w:bookmarkStart w:id="28" w:name="dimensionality-requirement"/>
    <w:p>
      <w:pPr>
        <w:pStyle w:val="Heading3"/>
      </w:pPr>
      <w:r>
        <w:t xml:space="preserve">3.2 Dimensionality Requirement</w:t>
      </w:r>
    </w:p>
    <w:p>
      <w:pPr>
        <w:pStyle w:val="FirstParagraph"/>
      </w:pPr>
      <w:r>
        <w:t xml:space="preserve">In 2D, circulation collapses into centers or saddles (Poincaré–Bendixson). Persistent circulation requires at least 3 orthogonal axes. Non-integrability in 3D ensures sustainable circulation. Odd dimensions generalize stability; even dimensions allow cancellations incompatible with paradox preservation.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nformation-distribution"/>
    <w:p>
      <w:pPr>
        <w:pStyle w:val="Heading2"/>
      </w:pPr>
      <w:r>
        <w:t xml:space="preserve">4. Information Distribution</w:t>
      </w:r>
    </w:p>
    <w:bookmarkStart w:id="30" w:name="distributed-information"/>
    <w:p>
      <w:pPr>
        <w:pStyle w:val="Heading3"/>
      </w:pPr>
      <w:r>
        <w:t xml:space="preserve">4.1 Distributed Information</w:t>
      </w:r>
    </w:p>
    <w:p>
      <w:pPr>
        <w:pStyle w:val="FirstParagraph"/>
      </w:pPr>
      <w:r>
        <w:t xml:space="preserve">Information is not localized in states but distributed across proportional relationships. Refinement does not add truth, only precision of access.</w:t>
      </w:r>
    </w:p>
    <w:bookmarkEnd w:id="30"/>
    <w:bookmarkStart w:id="31" w:name="entropy-invariance"/>
    <w:p>
      <w:pPr>
        <w:pStyle w:val="Heading3"/>
      </w:pPr>
      <w:r>
        <w:t xml:space="preserve">4.2 Entropy Invariance</w:t>
      </w:r>
    </w:p>
    <w:p>
      <w:pPr>
        <w:pStyle w:val="FirstParagraph"/>
      </w:pPr>
      <w:r>
        <w:t xml:space="preserve">For the class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of area-preserving maps 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(Jacobian = 1):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Differential entropy is invariant under unimodular transformations. Relative differences, not absolute values, are preserved.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1a1a037525b00577414da81205c0ef41c73abcc"/>
    <w:p>
      <w:pPr>
        <w:pStyle w:val="Heading2"/>
      </w:pPr>
      <w:r>
        <w:t xml:space="preserve">5. Constant Accuracy, Variable Precision (CAVP)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Invariant mathematical relations (e.g.,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 Always true, regardless of resolution.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Degree of refinement in accessing accuracy. Always costly in energy.</w:t>
      </w:r>
    </w:p>
    <w:p>
      <w:pPr>
        <w:pStyle w:val="FirstParagraph"/>
      </w:pPr>
      <w:r>
        <w:t xml:space="preserve">Examples:</w:t>
      </w:r>
      <w:r>
        <w:br/>
      </w:r>
      <w:r>
        <w:t xml:space="preserve">- Digits of π (mathematics)</w:t>
      </w:r>
      <w:r>
        <w:br/>
      </w:r>
      <w:r>
        <w:t xml:space="preserve">- Resolution of telescopes/microscopes (instrumentation)</w:t>
      </w:r>
      <w:r>
        <w:br/>
      </w:r>
      <w:r>
        <w:t xml:space="preserve">- Neural discrimination vs metabolic cost (biology)</w:t>
      </w:r>
      <w:r>
        <w:br/>
      </w:r>
      <w:r>
        <w:t xml:space="preserve">- Attention sharpness vs effort (consciousness)</w:t>
      </w:r>
    </w:p>
    <w:p>
      <w:pPr>
        <w:pStyle w:val="BodyText"/>
      </w:pPr>
      <w:r>
        <w:t xml:space="preserve">This accuracy–precision split anchors RSM’s empirical predictions.</w:t>
      </w:r>
    </w:p>
    <w:p>
      <w:r>
        <w:pict>
          <v:rect style="width:0;height:1.5pt" o:hralign="center" o:hrstd="t" o:hr="t"/>
        </w:pict>
      </w:r>
    </w:p>
    <w:bookmarkEnd w:id="33"/>
    <w:bookmarkStart w:id="34" w:name="predictions-and-test-domains"/>
    <w:p>
      <w:pPr>
        <w:pStyle w:val="Heading2"/>
      </w:pPr>
      <w:r>
        <w:t xml:space="preserve">6. Predictions and Test Domains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4"/>
        <w:gridCol w:w="1616"/>
        <w:gridCol w:w="3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Test Method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Instrumentation</w:t>
            </w:r>
          </w:p>
        </w:tc>
        <w:tc>
          <w:tcPr/>
          <w:p>
            <w:pPr>
              <w:pStyle w:val="Compact"/>
            </w:pPr>
            <w:r>
              <w:t xml:space="preserve">Resolution vs energy in microscopes/telescopes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Metabolic cost vs sensory refinement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Precision vs processing energy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Consciousness</w:t>
            </w:r>
          </w:p>
        </w:tc>
        <w:tc>
          <w:tcPr/>
          <w:p>
            <w:pPr>
              <w:pStyle w:val="Compact"/>
            </w:pPr>
            <w:r>
              <w:t xml:space="preserve">Attention cost vs awareness granularity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Irrational frequency stability</w:t>
            </w:r>
          </w:p>
        </w:tc>
        <w:tc>
          <w:tcPr/>
          <w:p>
            <w:pPr>
              <w:pStyle w:val="Compact"/>
            </w:pPr>
            <w:r>
              <w:t xml:space="preserve">Oscillatory circuits</w:t>
            </w:r>
          </w:p>
        </w:tc>
        <w:tc>
          <w:tcPr/>
          <w:p>
            <w:pPr>
              <w:pStyle w:val="Compact"/>
            </w:pPr>
            <w:r>
              <w:t xml:space="preserve">Rational vs irrational ratio coherence tests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Neuroscience</w:t>
            </w:r>
          </w:p>
        </w:tc>
        <w:tc>
          <w:tcPr/>
          <w:p>
            <w:pPr>
              <w:pStyle w:val="Compact"/>
            </w:pPr>
            <w:r>
              <w:t xml:space="preserve">Neural oscillation frequency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Hyperbolic correlations</w:t>
            </w:r>
          </w:p>
        </w:tc>
        <w:tc>
          <w:tcPr/>
          <w:p>
            <w:pPr>
              <w:pStyle w:val="Compact"/>
            </w:pPr>
            <w:r>
              <w:t xml:space="preserve">Quantum</w:t>
            </w:r>
          </w:p>
        </w:tc>
        <w:tc>
          <w:tcPr/>
          <w:p>
            <w:pPr>
              <w:pStyle w:val="Compact"/>
            </w:pPr>
            <w:r>
              <w:t xml:space="preserve">Vacuum fluctuation scaling patterns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Ecology</w:t>
            </w:r>
          </w:p>
        </w:tc>
        <w:tc>
          <w:tcPr/>
          <w:p>
            <w:pPr>
              <w:pStyle w:val="Compact"/>
            </w:pPr>
            <w:r>
              <w:t xml:space="preserve">Population scaling distributions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falsification-criteria"/>
    <w:p>
      <w:pPr>
        <w:pStyle w:val="Heading2"/>
      </w:pPr>
      <w:r>
        <w:t xml:space="preserve">7. Falsification Criteria</w:t>
      </w:r>
    </w:p>
    <w:p>
      <w:pPr>
        <w:pStyle w:val="FirstParagraph"/>
      </w:pPr>
      <w:r>
        <w:rPr>
          <w:b/>
          <w:bCs/>
        </w:rPr>
        <w:t xml:space="preserve">Empirical:</w:t>
      </w:r>
      <w:r>
        <w:br/>
      </w:r>
      <w:r>
        <w:t xml:space="preserve">1. Discovery of scale termination → falsifies infinite divisibility.</w:t>
      </w:r>
      <w:r>
        <w:br/>
      </w:r>
      <w:r>
        <w:t xml:space="preserve">2. Violation of</w:t>
      </w:r>
      <w:r>
        <w:t xml:space="preserve"> 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→ falsifies CAVP.</w:t>
      </w:r>
      <w:r>
        <w:br/>
      </w:r>
      <w:r>
        <w:t xml:space="preserve">3. Rational frequency ratios outperform irrational → falsifies stability law.</w:t>
      </w:r>
      <w:r>
        <w:br/>
      </w:r>
      <w:r>
        <w:t xml:space="preserve">4. Strictly localized, non-field information → falsifies RSM information theory.</w:t>
      </w:r>
    </w:p>
    <w:p>
      <w:pPr>
        <w:pStyle w:val="BodyText"/>
      </w:pPr>
      <w:r>
        <w:rPr>
          <w:b/>
          <w:bCs/>
        </w:rPr>
        <w:t xml:space="preserve">Theoretical:</w:t>
      </w:r>
      <w:r>
        <w:br/>
      </w:r>
      <w:r>
        <w:t xml:space="preserve">1. Unresolvable internal contradiction.</w:t>
      </w:r>
      <w:r>
        <w:br/>
      </w:r>
      <w:r>
        <w:t xml:space="preserve">2. Superior explanatory/predictive framework emerges.</w:t>
      </w:r>
    </w:p>
    <w:p>
      <w:r>
        <w:pict>
          <v:rect style="width:0;height:1.5pt" o:hralign="center" o:hrstd="t" o:hr="t"/>
        </w:pict>
      </w:r>
    </w:p>
    <w:bookmarkEnd w:id="35"/>
    <w:bookmarkStart w:id="36" w:name="Xe4282076d9c4ce97f981208685102d8e03d8ebf"/>
    <w:p>
      <w:pPr>
        <w:pStyle w:val="Heading2"/>
      </w:pPr>
      <w:r>
        <w:t xml:space="preserve">8. Philosophical and Ancient Correspondences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Dao =</w:t>
      </w:r>
      <w:r>
        <w:rPr>
          <w:b/>
          <w:bCs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the first origin frame.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Nameless/常道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paradox, unframeable.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1:</w:t>
      </w:r>
      <w:r>
        <w:t xml:space="preserve"> </w:t>
      </w:r>
      <w:r>
        <w:t xml:space="preserve">Naming is distinction, not act; collapse of paradox into contrast.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42:</w:t>
      </w:r>
      <w:r>
        <w:t xml:space="preserve"> </w:t>
      </w:r>
      <w:r>
        <w:t xml:space="preserve">“One gives birth to Two”</w:t>
      </w:r>
      <w:r>
        <w:t xml:space="preserve"> </w:t>
      </w:r>
      <w:r>
        <w:t xml:space="preserve">= co-emergence of axis and gradient.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Chapter 11:</w:t>
      </w:r>
      <w:r>
        <w:t xml:space="preserve"> </w:t>
      </w:r>
      <w:r>
        <w:t xml:space="preserve">Hub’s void =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 functional emptiness enabling circulation.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Wu Wei:</w:t>
      </w:r>
      <w:r>
        <w:t xml:space="preserve"> </w:t>
      </w:r>
      <w:r>
        <w:t xml:space="preserve">optimization via CAVP (minimal precision for accuracy).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Yin–Yang:</w:t>
      </w:r>
      <w:r>
        <w:t xml:space="preserve"> </w:t>
      </w:r>
      <w:r>
        <w:t xml:space="preserve">poles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’s proportional gradient.</w:t>
      </w:r>
    </w:p>
    <w:p>
      <w:r>
        <w:pict>
          <v:rect style="width:0;height:1.5pt" o:hralign="center" o:hrstd="t" o:hr="t"/>
        </w:pict>
      </w:r>
    </w:p>
    <w:bookmarkEnd w:id="36"/>
    <w:bookmarkStart w:id="37" w:name="research-program"/>
    <w:p>
      <w:pPr>
        <w:pStyle w:val="Heading2"/>
      </w:pPr>
      <w:r>
        <w:t xml:space="preserve">9. Research Program</w:t>
      </w:r>
    </w:p>
    <w:p>
      <w:pPr>
        <w:pStyle w:val="FirstParagraph"/>
      </w:pPr>
      <w:r>
        <w:rPr>
          <w:b/>
          <w:bCs/>
        </w:rPr>
        <w:t xml:space="preserve">Stage 1 (1–2 yrs):</w:t>
      </w:r>
      <w:r>
        <w:t xml:space="preserve"> </w:t>
      </w:r>
      <w:r>
        <w:t xml:space="preserve">Proof-of-concept in engineered systems (oscillators, precision–energy scaling).</w:t>
      </w:r>
      <w:r>
        <w:br/>
      </w:r>
      <w:r>
        <w:rPr>
          <w:b/>
          <w:bCs/>
        </w:rPr>
        <w:t xml:space="preserve">Stage 2 (2–4 yrs):</w:t>
      </w:r>
      <w:r>
        <w:t xml:space="preserve"> </w:t>
      </w:r>
      <w:r>
        <w:t xml:space="preserve">Biological &amp; neural validations.</w:t>
      </w:r>
      <w:r>
        <w:br/>
      </w:r>
      <w:r>
        <w:rPr>
          <w:b/>
          <w:bCs/>
        </w:rPr>
        <w:t xml:space="preserve">Stage 3 (3–6 yrs):</w:t>
      </w:r>
      <w:r>
        <w:t xml:space="preserve"> </w:t>
      </w:r>
      <w:r>
        <w:t xml:space="preserve">Cross-domain hyperbolic correlation searches.</w:t>
      </w:r>
      <w:r>
        <w:br/>
      </w:r>
      <w:r>
        <w:rPr>
          <w:b/>
          <w:bCs/>
        </w:rPr>
        <w:t xml:space="preserve">Stage 4 (5+ yrs):</w:t>
      </w:r>
      <w:r>
        <w:t xml:space="preserve"> </w:t>
      </w:r>
      <w:r>
        <w:t xml:space="preserve">Unified computational modeling across physics, biology, cognition.</w:t>
      </w:r>
    </w:p>
    <w:p>
      <w:r>
        <w:pict>
          <v:rect style="width:0;height:1.5pt" o:hralign="center" o:hrstd="t" o:hr="t"/>
        </w:pict>
      </w:r>
    </w:p>
    <w:bookmarkEnd w:id="37"/>
    <w:bookmarkStart w:id="41" w:name="appendix-a-oneness-as-orbit"/>
    <w:p>
      <w:pPr>
        <w:pStyle w:val="Heading2"/>
      </w:pPr>
      <w:r>
        <w:t xml:space="preserve">10. Appendix A — Oneness as Orbit</w:t>
      </w:r>
    </w:p>
    <w:bookmarkStart w:id="38" w:name="orbit-defines-unity"/>
    <w:p>
      <w:pPr>
        <w:pStyle w:val="Heading3"/>
      </w:pPr>
      <w:r>
        <w:t xml:space="preserve">10.1 Orbit Defines Unity</w:t>
      </w:r>
    </w:p>
    <w:p>
      <w:pPr>
        <w:pStyle w:val="FirstParagraph"/>
      </w:pPr>
      <w:r>
        <w:t xml:space="preserve">At each recursion level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, the native circulation defines</w:t>
      </w:r>
      <w:r>
        <w:t xml:space="preserve"> </w:t>
      </w:r>
      <w:r>
        <w:t xml:space="preserve">“1.”</w:t>
      </w:r>
      <w:r>
        <w:br/>
      </w:r>
      <w:r>
        <w:t xml:space="preserve">Examples: electron orbital, planetary year, heartbeat, galactic orbit.</w:t>
      </w:r>
    </w:p>
    <w:bookmarkEnd w:id="38"/>
    <w:bookmarkStart w:id="39" w:name="relativity-of-massenergy"/>
    <w:p>
      <w:pPr>
        <w:pStyle w:val="Heading3"/>
      </w:pPr>
      <w:r>
        <w:t xml:space="preserve">10.2 Relativity of Mass/Energy</w:t>
      </w:r>
    </w:p>
    <w:p>
      <w:pPr>
        <w:pStyle w:val="Compact"/>
        <w:numPr>
          <w:ilvl w:val="0"/>
          <w:numId w:val="1004"/>
        </w:numPr>
      </w:pPr>
      <w:r>
        <w:t xml:space="preserve">Smaller loops (</w:t>
      </w:r>
      <m:oMath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 → appear energetic.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Larger loops (</w:t>
      </w:r>
      <m:oMath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 → appear massive.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Within its own loop → always unity.</w:t>
      </w:r>
    </w:p>
    <w:bookmarkEnd w:id="39"/>
    <w:bookmarkStart w:id="40" w:name="philosophical-resonance"/>
    <w:p>
      <w:pPr>
        <w:pStyle w:val="Heading3"/>
      </w:pPr>
      <w:r>
        <w:t xml:space="preserve">10.3 Philosophical Resonance</w:t>
      </w:r>
    </w:p>
    <w:p>
      <w:pPr>
        <w:pStyle w:val="FirstParagraph"/>
      </w:pPr>
      <w:r>
        <w:t xml:space="preserve">Daoist</w:t>
      </w:r>
      <w:r>
        <w:t xml:space="preserve"> </w:t>
      </w:r>
      <w:r>
        <w:t xml:space="preserve">“One gives birth to Two,”</w:t>
      </w:r>
      <w:r>
        <w:t xml:space="preserve"> </w:t>
      </w:r>
      <w:r>
        <w:t xml:space="preserve">relativity’s proper time, and contemplative unity all express orbit-as-1.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Oneness is structural: each recursion level normalizes itself as unity through orbit.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2025-09-04T20:06:03Z</dcterms:created>
  <dcterms:modified xsi:type="dcterms:W3CDTF">2025-09-04T20:06:03Z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