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Marcin Pałka</w:t>
      </w:r>
    </w:p>
    <w:p>
      <w:pPr>
        <w:spacing w:after="120"/>
      </w:pPr>
      <w:r>
        <w:rPr>
          <w:rFonts w:ascii="Arial" w:cs="Arial" w:eastAsia="Arial" w:hAnsi="Arial"/>
          <w:sz w:val="22"/>
          <w:szCs w:val="22"/>
        </w:rPr>
        <w:t xml:space="preserve">Maria Kaźmierczak-Pałka</w:t>
      </w:r>
    </w:p>
    <w:p>
      <w:pPr>
        <w:spacing w:after="120"/>
      </w:pPr>
      <w:r>
        <w:rPr>
          <w:rFonts w:ascii="Arial" w:cs="Arial" w:eastAsia="Arial" w:hAnsi="Arial"/>
          <w:sz w:val="22"/>
          <w:szCs w:val="22"/>
        </w:rPr>
        <w:t xml:space="preserve">ul. Stawowa 6</w:t>
      </w:r>
    </w:p>
    <w:p>
      <w:pPr>
        <w:spacing w:after="120"/>
      </w:pPr>
      <w:r>
        <w:rPr>
          <w:rFonts w:ascii="Arial" w:cs="Arial" w:eastAsia="Arial" w:hAnsi="Arial"/>
          <w:sz w:val="22"/>
          <w:szCs w:val="22"/>
        </w:rPr>
        <w:t xml:space="preserve">59-800 Lubań</w:t>
      </w:r>
    </w:p>
    <w:p>
      <w:pPr>
        <w:spacing w:after="120"/>
      </w:pPr>
      <w:r>
        <w:rPr>
          <w:rFonts w:ascii="Arial" w:cs="Arial" w:eastAsia="Arial" w:hAnsi="Arial"/>
          <w:sz w:val="22"/>
          <w:szCs w:val="22"/>
        </w:rPr>
        <w:t xml:space="preserve">PESEL Marcin: 88051210597</w:t>
      </w:r>
    </w:p>
    <w:p>
      <w:pPr>
        <w:spacing w:after="120"/>
      </w:pPr>
      <w:r>
        <w:rPr>
          <w:rFonts w:ascii="Arial" w:cs="Arial" w:eastAsia="Arial" w:hAnsi="Arial"/>
          <w:sz w:val="22"/>
          <w:szCs w:val="22"/>
        </w:rPr>
        <w:t xml:space="preserve">PESEL Maria: 91030707182</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Naczelnik Urzędu Skarbowego w Lubaniu</w:t>
      </w:r>
    </w:p>
    <w:p>
      <w:pPr>
        <w:spacing w:after="120"/>
      </w:pPr>
      <w:r>
        <w:rPr>
          <w:rFonts w:ascii="Arial" w:cs="Arial" w:eastAsia="Arial" w:hAnsi="Arial"/>
          <w:sz w:val="22"/>
          <w:szCs w:val="22"/>
        </w:rPr>
        <w:t xml:space="preserve">ul. Stara 1</w:t>
      </w:r>
    </w:p>
    <w:p>
      <w:pPr>
        <w:spacing w:after="120"/>
      </w:pPr>
      <w:r>
        <w:rPr>
          <w:rFonts w:ascii="Arial" w:cs="Arial" w:eastAsia="Arial" w:hAnsi="Arial"/>
          <w:sz w:val="22"/>
          <w:szCs w:val="22"/>
        </w:rPr>
        <w:t xml:space="preserve">59-800 Lubań</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Lubań, dnia 13 maja 2026 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240"/>
        <w:jc w:val="center"/>
      </w:pPr>
      <w:r>
        <w:rPr>
          <w:rFonts w:ascii="Arial" w:cs="Arial" w:eastAsia="Arial" w:hAnsi="Arial"/>
          <w:b/>
          <w:bCs/>
          <w:sz w:val="26"/>
          <w:szCs w:val="26"/>
        </w:rPr>
        <w:t xml:space="preserve">WEZWANIE DO WYPŁATY ZALEGŁYCH NADPŁAT PODATKU DOCHODOWEGO</w:t>
      </w:r>
    </w:p>
    <w:p>
      <w:pPr>
        <w:spacing w:after="240"/>
        <w:jc w:val="center"/>
      </w:pPr>
      <w:r>
        <w:rPr>
          <w:rFonts w:ascii="Arial" w:cs="Arial" w:eastAsia="Arial" w:hAnsi="Arial"/>
          <w:b w:val="false"/>
          <w:bCs w:val="false"/>
          <w:sz w:val="22"/>
          <w:szCs w:val="22"/>
        </w:rPr>
        <w:t xml:space="preserve">wraz z wnioskiem o wyjaśnienie podstawy zaliczania zwrotów na zobowiązania</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 STAN FAKTYCZNY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Niżej podpisani Marcin Pałka oraz Maria Kaźmierczak-Pałka zwracają się do Naczelnika Urzędu Skarbowego w Lubaniu z wezwaniem do niezwłocznej wypłaty zaległych nadpłat podatku dochodowego od osób fizycznych (PIT) za lata 2022–2025, których Urząd Skarbowy w Lubaniu nie wypłacił, zaliczając je — bez podstawy prawnej — na rzekome zobowiązania pieniężne ze sprawy karnej sygn. akt VII K 1140/21.</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 dniu 12 maja 2026 r. stawiliśmy się osobiście w Urzędzie Skarbowym w Lubaniu, gdzie pracownik urzędu poinformował nas, że przyczyną niezrealizowania zwrotów są zobowiązania egzekwowane przez Urząd Skarbowy Wrocław-Stare Miasto tytułem "konfiskata/przepadek mienia (WKP)" w kwocie 5.500,92 zł.</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Stanowisko to jest błędne i pozbawione podstaw prawnych — co wyjaśniamy szczegółowo poniżej.</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II. ZOBOWIĄZANIE ZE SPRAWY KARNEJ ZOSTAŁO W CAŁOŚCI WYKONANE — BRAK PODSTAWY DO EGZEKUCJI</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Postanowieniem Sądu Rejonowego dla Wrocławia-Krzyków z dnia 19 kwietnia 2022 r. (sygn. akt VII K 1140/21) Sąd stwierdził upadek zabezpieczenia majątkowego w kwocie 140.000 zł i jednocześnie zarządził przekazanie z tej kwoty na poczet wszystkich orzeczonych należności, w tym:</w:t>
      </w:r>
    </w:p>
    <w:p>
      <w:pPr>
        <w:spacing w:after="120"/>
      </w:pPr>
      <w:r>
        <w:rPr>
          <w:rFonts w:ascii="Arial" w:cs="Arial" w:eastAsia="Arial" w:hAnsi="Arial"/>
          <w:sz w:val="22"/>
          <w:szCs w:val="22"/>
        </w:rPr>
        <w:t xml:space="preserve"/>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tblGrid>
      <w:tr>
        <w:tc>
          <w:tcPr>
            <w:tcW w:type="dxa" w:w="1500"/>
            <w:tcBorders>
              <w:top w:val="single" w:color="AAAAAA" w:sz="1"/>
              <w:left w:val="single" w:color="AAAAAA" w:sz="1"/>
              <w:bottom w:val="single" w:color="AAAAAA" w:sz="1"/>
              <w:right w:val="single" w:color="AAAAAA" w:sz="1"/>
            </w:tcBorders>
            <w:shd w:fill="D0E4F5" w:val="clear"/>
            <w:tcMar>
              <w:top w:type="dxa" w:w="60"/>
              <w:left w:type="dxa" w:w="100"/>
              <w:bottom w:type="dxa" w:w="60"/>
              <w:right w:type="dxa" w:w="100"/>
            </w:tcMar>
          </w:tcPr>
          <w:p>
            <w:r>
              <w:rPr>
                <w:rFonts w:ascii="Arial" w:cs="Arial" w:eastAsia="Arial" w:hAnsi="Arial"/>
                <w:b/>
                <w:bCs/>
                <w:sz w:val="20"/>
                <w:szCs w:val="20"/>
              </w:rPr>
              <w:t xml:space="preserve">Rodzaj należności</w:t>
            </w:r>
          </w:p>
        </w:tc>
        <w:tc>
          <w:tcPr>
            <w:tcW w:type="dxa" w:w="3000"/>
            <w:tcBorders>
              <w:top w:val="single" w:color="AAAAAA" w:sz="1"/>
              <w:left w:val="single" w:color="AAAAAA" w:sz="1"/>
              <w:bottom w:val="single" w:color="AAAAAA" w:sz="1"/>
              <w:right w:val="single" w:color="AAAAAA" w:sz="1"/>
            </w:tcBorders>
            <w:shd w:fill="D0E4F5" w:val="clear"/>
            <w:tcMar>
              <w:top w:type="dxa" w:w="60"/>
              <w:left w:type="dxa" w:w="100"/>
              <w:bottom w:type="dxa" w:w="60"/>
              <w:right w:type="dxa" w:w="100"/>
            </w:tcMar>
          </w:tcPr>
          <w:p>
            <w:r>
              <w:rPr>
                <w:rFonts w:ascii="Arial" w:cs="Arial" w:eastAsia="Arial" w:hAnsi="Arial"/>
                <w:b/>
                <w:bCs/>
                <w:sz w:val="20"/>
                <w:szCs w:val="20"/>
              </w:rPr>
              <w:t xml:space="preserve">Kwota przekazana z zabezpieczenia</w:t>
            </w:r>
          </w:p>
        </w:tc>
        <w:tc>
          <w:tcPr>
            <w:tcW w:type="dxa" w:w="2000"/>
            <w:tcBorders>
              <w:top w:val="single" w:color="AAAAAA" w:sz="1"/>
              <w:left w:val="single" w:color="AAAAAA" w:sz="1"/>
              <w:bottom w:val="single" w:color="AAAAAA" w:sz="1"/>
              <w:right w:val="single" w:color="AAAAAA" w:sz="1"/>
            </w:tcBorders>
            <w:shd w:fill="D0E4F5" w:val="clear"/>
            <w:tcMar>
              <w:top w:type="dxa" w:w="60"/>
              <w:left w:type="dxa" w:w="100"/>
              <w:bottom w:type="dxa" w:w="60"/>
              <w:right w:type="dxa" w:w="100"/>
            </w:tcMar>
          </w:tcPr>
          <w:p>
            <w:r>
              <w:rPr>
                <w:rFonts w:ascii="Arial" w:cs="Arial" w:eastAsia="Arial" w:hAnsi="Arial"/>
                <w:b/>
                <w:bCs/>
                <w:sz w:val="20"/>
                <w:szCs w:val="20"/>
              </w:rPr>
              <w:t xml:space="preserve">Podstawa</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Grzywna</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4.500,00 zł</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pkt I wyroku</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Przepadek korzyści majątkowej</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8.500,00 zł</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pkt II wyroku</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Nawiązka</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1.500,00 zł</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pkt III wyroku</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Koszty i opłaty sądowe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2.734,63 zł</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pkt VII wyroku</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RAZEM zapłacone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17.234,63 zł</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z 140.000 zł</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Zwrócono oskarżonemu</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122.765,37 zł</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pkt III postanowienia</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Z powyższego wynika jednoznacznie, że przepadek korzyści majątkowej w kwocie 8.500,00 zł — który jest jedynym tytułem mogącym odpowiadać pojęciu "konfiskata/przepadek mienia (WKP)" — został zapłacony bezpośrednio z zajętego zabezpieczenia majątkowego w dniu 19 kwietnia 2022 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Urząd Skarbowy Wrocław-Stare Miasto nie ma zatem żadnej podstawy prawnej do dalszego dochodzenia kwoty 5.500,92 zł, a Urząd Skarbowy w Lubaniu nie ma prawa zaliczać zwrotów PIT na to wygasłe zobowiązanie.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Zgodnie z art. 59 § 1 pkt 2 ustawy z dnia 17 czerwca 1966 r. o postępowaniu egzekucyjnym w administracji (t.j. Dz.U. z 2025 r. poz. 132) — postępowanie egzekucyjne umarza się, gdy wygaśnie zobowiązanie. Zobowiązanie ze sprawy VII K 1140/21 wygasło na skutek jego wykonania w całości z zajętego zabezpieczenia majątkowego.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III. ZALICZANIE ZWROTÓW NADPŁAT MARII KAŹMIERCZAK-PAŁKI NA ZOBOWIĄZANIA MARCINA PAŁKI — BRAK PODSTAWY PRAWNEJ</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Z danych e-Urzędu Skarbowego wynika, że Urząd Skarbowy w Lubaniu zalicza na rzekome zobowiązania Marcina Pałki również zwroty nadpłat PIT przysługujące Marii Kaźmierczak-Pałce, w tym:</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nadpłatę 4.712,00 zł (PIT-37 za rok 2024, wspólne z małżonkiem),</w:t>
      </w:r>
    </w:p>
    <w:p>
      <w:pPr>
        <w:spacing w:after="120"/>
      </w:pPr>
      <w:r>
        <w:rPr>
          <w:rFonts w:ascii="Arial" w:cs="Arial" w:eastAsia="Arial" w:hAnsi="Arial"/>
          <w:sz w:val="22"/>
          <w:szCs w:val="22"/>
        </w:rPr>
        <w:t xml:space="preserve">• nadpłatę 4.711,00 zł (PIT-37 za rok 2025, wspólne z małżonkiem) — zaliczoną 28.04.2026.</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Tymczasem zeznania te złożyła Maria Kaźmierczak-Pałka jako podatnik, z podaniem rachunku bankowego Marii (PL44 1090 1955 0000 0001 2130 6229) jako rachunku do zwrotu. Ewentualne zobowiązania egzekucyjne Marcina Pałki nie mogą być pokrywane ze zwrotów przysługujących Marii jako odrębnej osobie fizycznej, której odrębna podmiotowość prawnopodatkowa jest nienaruszona.</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Organ egzekucyjny może zająć wierzytelność dłużnika wobec urzędu skarbowego (tj. zwrot podatku), lecz tylko wtedy, gdy dłużnikiem jest ta sama osoba, której nadpłata dotyczy. W przypadku wspólnego zeznania, w którym podatnikiem jest Maria, zwrot przysługuje Marii i nie może być traktowany jako wierzytelność Marcina podlegająca zajęciu.</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IV. ZESTAWIENIE ZALEGŁYCH NADPŁAT PODLEGAJĄCYCH WYPŁACIE</w:t>
      </w:r>
    </w:p>
    <w:p>
      <w:pPr>
        <w:spacing w:after="120"/>
      </w:pPr>
      <w:r>
        <w:rPr>
          <w:rFonts w:ascii="Arial" w:cs="Arial" w:eastAsia="Arial" w:hAnsi="Arial"/>
          <w:sz w:val="22"/>
          <w:szCs w:val="22"/>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1800"/>
        <w:gridCol w:w="1500"/>
      </w:tblGrid>
      <w:tr>
        <w:tc>
          <w:tcPr>
            <w:tcW w:type="dxa" w:w="1200"/>
            <w:tcBorders>
              <w:top w:val="single" w:color="AAAAAA" w:sz="1"/>
              <w:left w:val="single" w:color="AAAAAA" w:sz="1"/>
              <w:bottom w:val="single" w:color="AAAAAA" w:sz="1"/>
              <w:right w:val="single" w:color="AAAAAA" w:sz="1"/>
            </w:tcBorders>
            <w:shd w:fill="D0E4F5" w:val="clear"/>
            <w:tcMar>
              <w:top w:type="dxa" w:w="60"/>
              <w:left w:type="dxa" w:w="100"/>
              <w:bottom w:type="dxa" w:w="60"/>
              <w:right w:type="dxa" w:w="100"/>
            </w:tcMar>
          </w:tcPr>
          <w:p>
            <w:r>
              <w:rPr>
                <w:rFonts w:ascii="Arial" w:cs="Arial" w:eastAsia="Arial" w:hAnsi="Arial"/>
                <w:b/>
                <w:bCs/>
                <w:sz w:val="20"/>
                <w:szCs w:val="20"/>
              </w:rPr>
              <w:t xml:space="preserve">Rok</w:t>
            </w:r>
          </w:p>
        </w:tc>
        <w:tc>
          <w:tcPr>
            <w:tcW w:type="dxa" w:w="2200"/>
            <w:tcBorders>
              <w:top w:val="single" w:color="AAAAAA" w:sz="1"/>
              <w:left w:val="single" w:color="AAAAAA" w:sz="1"/>
              <w:bottom w:val="single" w:color="AAAAAA" w:sz="1"/>
              <w:right w:val="single" w:color="AAAAAA" w:sz="1"/>
            </w:tcBorders>
            <w:shd w:fill="D0E4F5" w:val="clear"/>
            <w:tcMar>
              <w:top w:type="dxa" w:w="60"/>
              <w:left w:type="dxa" w:w="100"/>
              <w:bottom w:type="dxa" w:w="60"/>
              <w:right w:type="dxa" w:w="100"/>
            </w:tcMar>
          </w:tcPr>
          <w:p>
            <w:r>
              <w:rPr>
                <w:rFonts w:ascii="Arial" w:cs="Arial" w:eastAsia="Arial" w:hAnsi="Arial"/>
                <w:b/>
                <w:bCs/>
                <w:sz w:val="20"/>
                <w:szCs w:val="20"/>
              </w:rPr>
              <w:t xml:space="preserve">Zeznanie</w:t>
            </w:r>
          </w:p>
        </w:tc>
        <w:tc>
          <w:tcPr>
            <w:tcW w:type="dxa" w:w="1800"/>
            <w:tcBorders>
              <w:top w:val="single" w:color="AAAAAA" w:sz="1"/>
              <w:left w:val="single" w:color="AAAAAA" w:sz="1"/>
              <w:bottom w:val="single" w:color="AAAAAA" w:sz="1"/>
              <w:right w:val="single" w:color="AAAAAA" w:sz="1"/>
            </w:tcBorders>
            <w:shd w:fill="D0E4F5" w:val="clear"/>
            <w:tcMar>
              <w:top w:type="dxa" w:w="60"/>
              <w:left w:type="dxa" w:w="100"/>
              <w:bottom w:type="dxa" w:w="60"/>
              <w:right w:type="dxa" w:w="100"/>
            </w:tcMar>
          </w:tcPr>
          <w:p>
            <w:r>
              <w:rPr>
                <w:rFonts w:ascii="Arial" w:cs="Arial" w:eastAsia="Arial" w:hAnsi="Arial"/>
                <w:b/>
                <w:bCs/>
                <w:sz w:val="20"/>
                <w:szCs w:val="20"/>
              </w:rPr>
              <w:t xml:space="preserve">Kwota nadpłaty</w:t>
            </w:r>
          </w:p>
        </w:tc>
        <w:tc>
          <w:tcPr>
            <w:tcW w:type="dxa" w:w="1800"/>
            <w:tcBorders>
              <w:top w:val="single" w:color="AAAAAA" w:sz="1"/>
              <w:left w:val="single" w:color="AAAAAA" w:sz="1"/>
              <w:bottom w:val="single" w:color="AAAAAA" w:sz="1"/>
              <w:right w:val="single" w:color="AAAAAA" w:sz="1"/>
            </w:tcBorders>
            <w:shd w:fill="D0E4F5"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1500"/>
            <w:tcBorders>
              <w:top w:val="single" w:color="AAAAAA" w:sz="1"/>
              <w:left w:val="single" w:color="AAAAAA" w:sz="1"/>
              <w:bottom w:val="single" w:color="AAAAAA" w:sz="1"/>
              <w:right w:val="single" w:color="AAAAAA" w:sz="1"/>
            </w:tcBorders>
            <w:shd w:fill="D0E4F5" w:val="clear"/>
            <w:tcMar>
              <w:top w:type="dxa" w:w="60"/>
              <w:left w:type="dxa" w:w="100"/>
              <w:bottom w:type="dxa" w:w="60"/>
              <w:right w:type="dxa" w:w="100"/>
            </w:tcMar>
          </w:tcPr>
          <w:p>
            <w:r>
              <w:rPr>
                <w:rFonts w:ascii="Arial" w:cs="Arial" w:eastAsia="Arial" w:hAnsi="Arial"/>
                <w:b/>
                <w:bCs/>
                <w:sz w:val="20"/>
                <w:szCs w:val="20"/>
              </w:rPr>
              <w:t xml:space="preserve">Rachunek do zwrotu</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2022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PIT-37 Marcin (ULG-1)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1.112,04 zł</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Zaliczone bezprawnie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Marcin Pałka</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2022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PIT-37 Maria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538,00 zł</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Wypłacono 30.03.2023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Maria K.-Palka</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2023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PIT-37 Marcin (ULG-1 + nadpłata)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1.242,04 zł</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Zaliczone bezprawnie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Marcin Pałka</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2024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PIT-37 Marcin (indywidualny)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645,00 zł</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Zaliczone bezprawnie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Marcin Pałka</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2024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PIT-37 Maria+Marcin (korekta wspolna)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4.712,00 zł</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Nadplata - termin 03.06.2026</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Maria K.-Palka</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2025</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PIT-37 Maria+Marcin (wspolne)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4.711,00 zł</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Zaliczone 28.04.2026 bezprawnie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Maria K.-Palka</w:t>
            </w:r>
          </w:p>
        </w:tc>
      </w:tr>
      <w:tr>
        <w:tc>
          <w:tcPr>
            <w:tcW w:type="dxa" w:w="1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r>
              <w:rPr>
                <w:rFonts w:ascii="Arial" w:cs="Arial" w:eastAsia="Arial" w:hAnsi="Arial"/>
                <w:b/>
                <w:bCs/>
                <w:sz w:val="20"/>
                <w:szCs w:val="20"/>
              </w:rPr>
              <w:t xml:space="preserve">RAZEM</w:t>
            </w:r>
          </w:p>
        </w:tc>
        <w:tc>
          <w:tcPr>
            <w:tcW w:type="dxa" w:w="2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r>
              <w:rPr>
                <w:rFonts w:ascii="Arial" w:cs="Arial" w:eastAsia="Arial" w:hAnsi="Arial"/>
                <w:b/>
                <w:bCs/>
                <w:sz w:val="20"/>
                <w:szCs w:val="20"/>
              </w:rPr>
              <w:t xml:space="preserve">12.960,08 zł</w:t>
            </w:r>
          </w:p>
        </w:tc>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r>
              <w:rPr>
                <w:rFonts w:ascii="Arial" w:cs="Arial" w:eastAsia="Arial" w:hAnsi="Arial"/>
                <w:b/>
                <w:bCs/>
                <w:sz w:val="20"/>
                <w:szCs w:val="20"/>
              </w:rPr>
              <w:t xml:space="preserve">DO WYPLATY</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r>
              <w:rPr>
                <w:rFonts w:ascii="Arial" w:cs="Arial" w:eastAsia="Arial" w:hAnsi="Arial"/>
                <w:sz w:val="20"/>
                <w:szCs w:val="20"/>
              </w:rPr>
              <w:t xml:space="preserve"/>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(Kwota 538 zł za rok 2022 Marii — wypłacona prawidłowo — nie jest objęta niniejszym wezwaniem.)</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V. ODSETKI OD NIETERMINOWEGO ZWROTU NADPŁAT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Zgodnie z art. 78 § 3 pkt 1 ustawy z dnia 29 sierpnia 1997 r. — Ordynacja podatkowa (t.j. Dz.U. z 2023 r. poz. 2383 ze zm.), nadpłata podlega oprocentowaniu w wysokości 50% stopy odsetek za zwłokę, liczonej od dnia następnego po upływie terminu zwrotu nadpłaty do dnia jej faktycznego zwrotu.</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Aktualna stopa odsetek za zwłokę wynosi 13,5%, zatem oprocentowanie nadpłat wynosi 6,75% rocznie.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Poniżej przedstawiamy obliczenie odsetek należnych na dzień sporządzenia niniejszego pisma (13.05.2026):</w:t>
      </w:r>
    </w:p>
    <w:p>
      <w:pPr>
        <w:spacing w:after="120"/>
      </w:pPr>
      <w:r>
        <w:rPr>
          <w:rFonts w:ascii="Arial" w:cs="Arial" w:eastAsia="Arial" w:hAnsi="Arial"/>
          <w:sz w:val="22"/>
          <w:szCs w:val="22"/>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00"/>
        <w:gridCol w:w="1700"/>
        <w:gridCol w:w="1700"/>
      </w:tblGrid>
      <w:tr>
        <w:tc>
          <w:tcPr>
            <w:tcW w:type="dxa" w:w="2200"/>
            <w:tcBorders>
              <w:top w:val="single" w:color="AAAAAA" w:sz="1"/>
              <w:left w:val="single" w:color="AAAAAA" w:sz="1"/>
              <w:bottom w:val="single" w:color="AAAAAA" w:sz="1"/>
              <w:right w:val="single" w:color="AAAAAA" w:sz="1"/>
            </w:tcBorders>
            <w:shd w:fill="D0E4F5" w:val="clear"/>
            <w:tcMar>
              <w:top w:type="dxa" w:w="60"/>
              <w:left w:type="dxa" w:w="100"/>
              <w:bottom w:type="dxa" w:w="60"/>
              <w:right w:type="dxa" w:w="100"/>
            </w:tcMar>
          </w:tcPr>
          <w:p>
            <w:r>
              <w:rPr>
                <w:rFonts w:ascii="Arial" w:cs="Arial" w:eastAsia="Arial" w:hAnsi="Arial"/>
                <w:b/>
                <w:bCs/>
                <w:sz w:val="20"/>
                <w:szCs w:val="20"/>
              </w:rPr>
              <w:t xml:space="preserve">Nadplata</w:t>
            </w:r>
          </w:p>
        </w:tc>
        <w:tc>
          <w:tcPr>
            <w:tcW w:type="dxa" w:w="1500"/>
            <w:tcBorders>
              <w:top w:val="single" w:color="AAAAAA" w:sz="1"/>
              <w:left w:val="single" w:color="AAAAAA" w:sz="1"/>
              <w:bottom w:val="single" w:color="AAAAAA" w:sz="1"/>
              <w:right w:val="single" w:color="AAAAAA" w:sz="1"/>
            </w:tcBorders>
            <w:shd w:fill="D0E4F5" w:val="clear"/>
            <w:tcMar>
              <w:top w:type="dxa" w:w="60"/>
              <w:left w:type="dxa" w:w="100"/>
              <w:bottom w:type="dxa" w:w="60"/>
              <w:right w:type="dxa" w:w="100"/>
            </w:tcMar>
          </w:tcPr>
          <w:p>
            <w:r>
              <w:rPr>
                <w:rFonts w:ascii="Arial" w:cs="Arial" w:eastAsia="Arial" w:hAnsi="Arial"/>
                <w:b/>
                <w:bCs/>
                <w:sz w:val="20"/>
                <w:szCs w:val="20"/>
              </w:rPr>
              <w:t xml:space="preserve">Kwota</w:t>
            </w:r>
          </w:p>
        </w:tc>
        <w:tc>
          <w:tcPr>
            <w:tcW w:type="dxa" w:w="1400"/>
            <w:tcBorders>
              <w:top w:val="single" w:color="AAAAAA" w:sz="1"/>
              <w:left w:val="single" w:color="AAAAAA" w:sz="1"/>
              <w:bottom w:val="single" w:color="AAAAAA" w:sz="1"/>
              <w:right w:val="single" w:color="AAAAAA" w:sz="1"/>
            </w:tcBorders>
            <w:shd w:fill="D0E4F5" w:val="clear"/>
            <w:tcMar>
              <w:top w:type="dxa" w:w="60"/>
              <w:left w:type="dxa" w:w="100"/>
              <w:bottom w:type="dxa" w:w="60"/>
              <w:right w:type="dxa" w:w="100"/>
            </w:tcMar>
          </w:tcPr>
          <w:p>
            <w:r>
              <w:rPr>
                <w:rFonts w:ascii="Arial" w:cs="Arial" w:eastAsia="Arial" w:hAnsi="Arial"/>
                <w:b/>
                <w:bCs/>
                <w:sz w:val="20"/>
                <w:szCs w:val="20"/>
              </w:rPr>
              <w:t xml:space="preserve">Termin zwrotu</w:t>
            </w:r>
          </w:p>
        </w:tc>
        <w:tc>
          <w:tcPr>
            <w:tcW w:type="dxa" w:w="1700"/>
            <w:tcBorders>
              <w:top w:val="single" w:color="AAAAAA" w:sz="1"/>
              <w:left w:val="single" w:color="AAAAAA" w:sz="1"/>
              <w:bottom w:val="single" w:color="AAAAAA" w:sz="1"/>
              <w:right w:val="single" w:color="AAAAAA" w:sz="1"/>
            </w:tcBorders>
            <w:shd w:fill="D0E4F5" w:val="clear"/>
            <w:tcMar>
              <w:top w:type="dxa" w:w="60"/>
              <w:left w:type="dxa" w:w="100"/>
              <w:bottom w:type="dxa" w:w="60"/>
              <w:right w:type="dxa" w:w="100"/>
            </w:tcMar>
          </w:tcPr>
          <w:p>
            <w:r>
              <w:rPr>
                <w:rFonts w:ascii="Arial" w:cs="Arial" w:eastAsia="Arial" w:hAnsi="Arial"/>
                <w:b/>
                <w:bCs/>
                <w:sz w:val="20"/>
                <w:szCs w:val="20"/>
              </w:rPr>
              <w:t xml:space="preserve">Dni opoznienia</w:t>
            </w:r>
          </w:p>
        </w:tc>
        <w:tc>
          <w:tcPr>
            <w:tcW w:type="dxa" w:w="1700"/>
            <w:tcBorders>
              <w:top w:val="single" w:color="AAAAAA" w:sz="1"/>
              <w:left w:val="single" w:color="AAAAAA" w:sz="1"/>
              <w:bottom w:val="single" w:color="AAAAAA" w:sz="1"/>
              <w:right w:val="single" w:color="AAAAAA" w:sz="1"/>
            </w:tcBorders>
            <w:shd w:fill="D0E4F5" w:val="clear"/>
            <w:tcMar>
              <w:top w:type="dxa" w:w="60"/>
              <w:left w:type="dxa" w:w="100"/>
              <w:bottom w:type="dxa" w:w="60"/>
              <w:right w:type="dxa" w:w="100"/>
            </w:tcMar>
          </w:tcPr>
          <w:p>
            <w:r>
              <w:rPr>
                <w:rFonts w:ascii="Arial" w:cs="Arial" w:eastAsia="Arial" w:hAnsi="Arial"/>
                <w:b/>
                <w:bCs/>
                <w:sz w:val="20"/>
                <w:szCs w:val="20"/>
              </w:rPr>
              <w:t xml:space="preserve">Odsetki (6,75%)</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Marcin 2022 - ULG-1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1.112,04 zł</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27.04.2023</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1.111 dni</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228,48 zł</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Marcin 2023 - nadplata PIT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130,00 zł</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14.06.2024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697 dni</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16,76 zł</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Marcin 2023 - ULG-1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1.112,04 zł</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14.06.2024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697 dni</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143,34 zł</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Marcin 2024 - PIT-37</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645,00 zł</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16.05.2025</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361 dni</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43,06 zł</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Maria+Marcin 2024 korekta wspolna</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4.712,00 zł</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23.05.2025</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355 dni</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309,35 zł</w:t>
            </w:r>
          </w:p>
        </w:tc>
      </w:tr>
      <w:tr>
        <w:tc>
          <w:tcPr>
            <w:tcW w:type="dxa" w:w="2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r>
              <w:rPr>
                <w:rFonts w:ascii="Arial" w:cs="Arial" w:eastAsia="Arial" w:hAnsi="Arial"/>
                <w:b/>
                <w:bCs/>
                <w:sz w:val="20"/>
                <w:szCs w:val="20"/>
              </w:rPr>
              <w:t xml:space="preserve">RAZEM ODSETKI</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r>
              <w:rPr>
                <w:rFonts w:ascii="Arial" w:cs="Arial" w:eastAsia="Arial" w:hAnsi="Arial"/>
                <w:sz w:val="20"/>
                <w:szCs w:val="20"/>
              </w:rPr>
              <w:t xml:space="preserve">7.711,08 zł</w:t>
            </w:r>
          </w:p>
        </w:tc>
        <w:tc>
          <w:tcPr>
            <w:tcW w:type="dxa" w:w="14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r>
              <w:rPr>
                <w:rFonts w:ascii="Arial" w:cs="Arial" w:eastAsia="Arial" w:hAnsi="Arial"/>
                <w:sz w:val="20"/>
                <w:szCs w:val="20"/>
              </w:rPr>
              <w:t xml:space="preserve"/>
            </w:r>
          </w:p>
        </w:tc>
        <w:tc>
          <w:tcPr>
            <w:tcW w:type="dxa" w:w="17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r>
              <w:rPr>
                <w:rFonts w:ascii="Arial" w:cs="Arial" w:eastAsia="Arial" w:hAnsi="Arial"/>
                <w:sz w:val="20"/>
                <w:szCs w:val="20"/>
              </w:rPr>
              <w:t xml:space="preserve">na dzien 13.05.2026</w:t>
            </w:r>
          </w:p>
        </w:tc>
        <w:tc>
          <w:tcPr>
            <w:tcW w:type="dxa" w:w="17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r>
              <w:rPr>
                <w:rFonts w:ascii="Arial" w:cs="Arial" w:eastAsia="Arial" w:hAnsi="Arial"/>
                <w:b/>
                <w:bCs/>
                <w:sz w:val="20"/>
                <w:szCs w:val="20"/>
              </w:rPr>
              <w:t xml:space="preserve">740,99 zł</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ŁĄCZNIE DO WYPŁATY (nadpłaty + odsetki na 13.05.2026): </w:t>
      </w:r>
      <w:r>
        <w:rPr>
          <w:rFonts w:ascii="Arial" w:cs="Arial" w:eastAsia="Arial" w:hAnsi="Arial"/>
          <w:b/>
          <w:bCs/>
          <w:sz w:val="24"/>
          <w:szCs w:val="24"/>
        </w:rPr>
        <w:t xml:space="preserve">13.701,07 zł</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Odsetki naliczają się nadal do dnia faktycznej wypłaty. Wzywamy do niezwłocznego uregulowania całości należności wraz z należnymi odsetkami.</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Nadpłata za rok 2025 (4.711 zł) nie jest uwzględniona w powyższym zestawieniu odsetek, gdyż termin jej zwrotu upływa 16.06.2026 — jednak zaliczenie tej kwoty na zobowiązania Marcina Pałki w dniu 28.04.2026 było bezprawne i również żądamy jej niezwłocznej wypłaty.</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VI. ŻĄDANIA</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 związku z powyższym wzywamy Naczelnika Urzędu Skarbowego w Lubaniu do:</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Niezwłocznego skontaktowania się z Urzędem Skarbowym Wrocław-Stare Miasto (znak: 0227-SEW.722.1585028.2025) oraz przekazania im kopii postanowienia Sądu Rejonowego dla Wrocławia-Krzyków z dnia 19 kwietnia 2022 r. (sygn. VII K 1140/21) jako dowodu wygaśnięcia zobowiązania będącego podstawą egzekucji.</w:t>
      </w:r>
    </w:p>
    <w:p>
      <w:pPr>
        <w:pStyle w:val="ListParagraph"/>
        <w:numPr>
          <w:ilvl w:val="0"/>
          <w:numId w:val="2"/>
        </w:numPr>
        <w:spacing w:after="80"/>
      </w:pPr>
      <w:r>
        <w:rPr>
          <w:rFonts w:ascii="Arial" w:cs="Arial" w:eastAsia="Arial" w:hAnsi="Arial"/>
          <w:sz w:val="22"/>
          <w:szCs w:val="22"/>
        </w:rPr>
        <w:t xml:space="preserve">Wstrzymania dalszego zaliczania naszych nadpłat PIT na zobowiązania ze sprawy VII K 1140/21 do czasu wyjaśnienia sprawy.</w:t>
      </w:r>
    </w:p>
    <w:p>
      <w:pPr>
        <w:pStyle w:val="ListParagraph"/>
        <w:numPr>
          <w:ilvl w:val="0"/>
          <w:numId w:val="2"/>
        </w:numPr>
        <w:spacing w:after="80"/>
      </w:pPr>
      <w:r>
        <w:rPr>
          <w:rFonts w:ascii="Arial" w:cs="Arial" w:eastAsia="Arial" w:hAnsi="Arial"/>
          <w:sz w:val="22"/>
          <w:szCs w:val="22"/>
        </w:rPr>
        <w:t xml:space="preserve">Wypłaty zaległych nadpłat wraz z należnymi odsetkami na rachunki bankowe:</w:t>
      </w:r>
    </w:p>
    <w:p>
      <w:pPr>
        <w:spacing w:after="120"/>
      </w:pPr>
      <w:r>
        <w:rPr>
          <w:rFonts w:ascii="Arial" w:cs="Arial" w:eastAsia="Arial" w:hAnsi="Arial"/>
          <w:sz w:val="22"/>
          <w:szCs w:val="22"/>
        </w:rPr>
        <w:t xml:space="preserve">   • Marcin Pałka: PL21 2490 0005 0000 4000 1614 9096 (nadpłaty za 2022 i 2023 r.),</w:t>
      </w:r>
    </w:p>
    <w:p>
      <w:pPr>
        <w:spacing w:after="120"/>
      </w:pPr>
      <w:r>
        <w:rPr>
          <w:rFonts w:ascii="Arial" w:cs="Arial" w:eastAsia="Arial" w:hAnsi="Arial"/>
          <w:sz w:val="22"/>
          <w:szCs w:val="22"/>
        </w:rPr>
        <w:t xml:space="preserve">   • Maria Kaźmierczak-Pałka: PL44 1090 1955 0000 0001 2130 6229 (nadpłaty za 2024 i 2025 r. oraz korekta za 2024 r.),</w:t>
      </w:r>
    </w:p>
    <w:p>
      <w:pPr>
        <w:pStyle w:val="ListParagraph"/>
        <w:numPr>
          <w:ilvl w:val="0"/>
          <w:numId w:val="2"/>
        </w:numPr>
        <w:spacing w:after="80"/>
      </w:pPr>
      <w:r>
        <w:rPr>
          <w:rFonts w:ascii="Arial" w:cs="Arial" w:eastAsia="Arial" w:hAnsi="Arial"/>
          <w:sz w:val="22"/>
          <w:szCs w:val="22"/>
        </w:rPr>
        <w:t xml:space="preserve">Przekazania nam pisemnej odpowiedzi w terminie 14 dni od doręczenia niniejszego wezwania, z wyjaśnieniem podstawy prawnej dotychczasowego postępowania urzędu.</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VII. INFORMACJA O ZŁOŻONYCH I PLANOWANYCH KOREKTACH ZEZNAŃ PODATKOWYCH</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Informujemy ponadto, że: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Za rok 2024 złożona została korekta zeznania PIT-37 przez Marię Kaźmierczak-Pałkę (wspólnie z małżonkiem), z której wynika nadpłata 4.712 zł — dotychczas niezwrócona.</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Za rok 2025 złożone zostało zeznanie PIT-37 wspólne z małżonkiem przez Marię Kaźmierczak-Pałkę, z którego wynika nadpłata 4.711 zł — zaliczona bezprawnie w dniu 28.04.2026.</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Rozważamy również złożenie korekt za lata 2022 i 2023 na rozliczenie wspólne z małżonkiem (co wiązałoby się ze zwiększeniem łącznej nadpłaty o ok. 3.253 zł). O ich złożeniu poinformujemy urząd odrębnym pismem.</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VIII. ZAŁĄCZNIKI</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1. Postanowienie Sądu Rejonowego dla Wrocławia-Krzyków z dnia 19 kwietnia 2022 r. (sygn. VII K 1140/21) — potwierdzające wykonanie wszystkich należności z zabezpieczenia majątkowego.</w:t>
      </w:r>
    </w:p>
    <w:p>
      <w:pPr>
        <w:spacing w:after="120"/>
      </w:pPr>
      <w:r>
        <w:rPr>
          <w:rFonts w:ascii="Arial" w:cs="Arial" w:eastAsia="Arial" w:hAnsi="Arial"/>
          <w:sz w:val="22"/>
          <w:szCs w:val="22"/>
        </w:rPr>
        <w:t xml:space="preserve">2. Wydruk z e-Urzędu Skarbowego — Szczegóły transakcji PIT Marcin Pałka (wygenerowany 12.05.2026).</w:t>
      </w:r>
    </w:p>
    <w:p>
      <w:pPr>
        <w:spacing w:after="120"/>
      </w:pPr>
      <w:r>
        <w:rPr>
          <w:rFonts w:ascii="Arial" w:cs="Arial" w:eastAsia="Arial" w:hAnsi="Arial"/>
          <w:sz w:val="22"/>
          <w:szCs w:val="22"/>
        </w:rPr>
        <w:t xml:space="preserve">3. Wydruk z e-Urzędu Skarbowego — Rozliczenia Maria Kaźmierczak-Pałka (Zwroty PIT i transakcje).</w:t>
      </w:r>
    </w:p>
    <w:p>
      <w:pPr>
        <w:spacing w:after="120"/>
      </w:pPr>
      <w:r>
        <w:rPr>
          <w:rFonts w:ascii="Arial" w:cs="Arial" w:eastAsia="Arial" w:hAnsi="Arial"/>
          <w:sz w:val="22"/>
          <w:szCs w:val="22"/>
        </w:rPr>
        <w:t xml:space="preserve">4. Upomnienie US Wrocław-Stare Miasto z dnia 30 maja 2025 r. (znak: 0227-SEW.722.1585028.2025).</w:t>
      </w:r>
    </w:p>
    <w:p>
      <w:pPr>
        <w:spacing w:after="120"/>
      </w:pPr>
      <w:r>
        <w:rPr>
          <w:rFonts w:ascii="Arial" w:cs="Arial" w:eastAsia="Arial" w:hAnsi="Arial"/>
          <w:sz w:val="22"/>
          <w:szCs w:val="22"/>
        </w:rPr>
        <w:t xml:space="preserve">5. Kopie zeznań PIT-37 za lata 2022–2025 (Marcin Pałka i Maria Kaźmierczak-Pałka).</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Z powazaniem,</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_________________________________</w:t>
      </w:r>
    </w:p>
    <w:p>
      <w:pPr>
        <w:spacing w:after="120"/>
      </w:pPr>
      <w:r>
        <w:rPr>
          <w:rFonts w:ascii="Arial" w:cs="Arial" w:eastAsia="Arial" w:hAnsi="Arial"/>
          <w:sz w:val="22"/>
          <w:szCs w:val="22"/>
        </w:rPr>
        <w:t xml:space="preserve">Marcin Pałka</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_________________________________</w:t>
      </w:r>
    </w:p>
    <w:p>
      <w:pPr>
        <w:spacing w:after="120"/>
      </w:pPr>
      <w:r>
        <w:rPr>
          <w:rFonts w:ascii="Arial" w:cs="Arial" w:eastAsia="Arial" w:hAnsi="Arial"/>
          <w:sz w:val="22"/>
          <w:szCs w:val="22"/>
        </w:rPr>
        <w:t xml:space="preserve">Maria Kaźmierczak-Pałka</w:t>
      </w:r>
    </w:p>
    <w:sectPr>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2026-05-13T10:07:51.116Z</dcterms:created>
  <dcterms:modified xsi:type="dcterms:W3CDTF">2026-05-13T10:07:51.132Z</dcterms:modified>
</cp:coreProperties>
</file>

<file path=docProps/custom.xml><?xml version="1.0" encoding="utf-8"?>
<Properties xmlns="http://schemas.openxmlformats.org/officeDocument/2006/custom-properties" xmlns:vt="http://schemas.openxmlformats.org/officeDocument/2006/docPropsVTypes"/>
</file>