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sz w:val="24"/>
          <w:szCs w:val="24"/>
        </w:rPr>
        <w:t xml:space="preserve">Marcin Pałka</w:t>
      </w:r>
    </w:p>
    <w:p>
      <w:pPr>
        <w:spacing w:after="160"/>
      </w:pPr>
      <w:r>
        <w:rPr>
          <w:rFonts w:ascii="Times New Roman" w:cs="Times New Roman" w:eastAsia="Times New Roman" w:hAnsi="Times New Roman"/>
          <w:sz w:val="24"/>
          <w:szCs w:val="24"/>
        </w:rPr>
        <w:t xml:space="preserve">ul. Stawowa 5, 59-800 Lubań</w:t>
      </w:r>
    </w:p>
    <w:p>
      <w:pPr>
        <w:spacing w:after="160"/>
      </w:pPr>
      <w:r>
        <w:rPr>
          <w:rFonts w:ascii="Times New Roman" w:cs="Times New Roman" w:eastAsia="Times New Roman" w:hAnsi="Times New Roman"/>
          <w:sz w:val="24"/>
          <w:szCs w:val="24"/>
        </w:rPr>
        <w:t xml:space="preserve">PESEL: 88051210597</w:t>
      </w:r>
    </w:p>
    <w:p>
      <w:pPr>
        <w:spacing w:after="80"/>
      </w:pPr>
      <w:r>
        <w:rPr>
          <w:rFonts w:ascii="Times New Roman" w:cs="Times New Roman" w:eastAsia="Times New Roman" w:hAnsi="Times New Roman"/>
          <w:sz w:val="24"/>
          <w:szCs w:val="24"/>
        </w:rPr>
        <w:t xml:space="preserve"/>
      </w:r>
    </w:p>
    <w:p>
      <w:pPr>
        <w:spacing w:after="160"/>
        <w:jc w:val="right"/>
      </w:pPr>
      <w:r>
        <w:rPr>
          <w:rFonts w:ascii="Times New Roman" w:cs="Times New Roman" w:eastAsia="Times New Roman" w:hAnsi="Times New Roman"/>
          <w:sz w:val="24"/>
          <w:szCs w:val="24"/>
        </w:rPr>
        <w:t xml:space="preserve">Lubań, dnia 5 maja 2026 r.</w:t>
      </w:r>
    </w:p>
    <w:p>
      <w:pPr>
        <w:spacing w:after="8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b/>
          <w:bCs/>
          <w:sz w:val="24"/>
          <w:szCs w:val="24"/>
        </w:rPr>
        <w:t xml:space="preserve">Samorządowe Kolegium Odwoławcze w Jeleniej Górze</w:t>
      </w:r>
    </w:p>
    <w:p>
      <w:pPr>
        <w:spacing w:after="160"/>
      </w:pPr>
      <w:r>
        <w:rPr>
          <w:rFonts w:ascii="Times New Roman" w:cs="Times New Roman" w:eastAsia="Times New Roman" w:hAnsi="Times New Roman"/>
          <w:sz w:val="24"/>
          <w:szCs w:val="24"/>
        </w:rPr>
        <w:t xml:space="preserve">(za pośrednictwem Starosty Lubańskiego)</w:t>
      </w:r>
    </w:p>
    <w:p>
      <w:pPr>
        <w:spacing w:after="160"/>
      </w:pPr>
      <w:r>
        <w:rPr>
          <w:rFonts w:ascii="Times New Roman" w:cs="Times New Roman" w:eastAsia="Times New Roman" w:hAnsi="Times New Roman"/>
          <w:sz w:val="24"/>
          <w:szCs w:val="24"/>
        </w:rPr>
        <w:t xml:space="preserve">ul. Mickiewicza 2</w:t>
      </w:r>
    </w:p>
    <w:p>
      <w:pPr>
        <w:spacing w:after="160"/>
      </w:pPr>
      <w:r>
        <w:rPr>
          <w:rFonts w:ascii="Times New Roman" w:cs="Times New Roman" w:eastAsia="Times New Roman" w:hAnsi="Times New Roman"/>
          <w:sz w:val="24"/>
          <w:szCs w:val="24"/>
        </w:rPr>
        <w:t xml:space="preserve">59-800 Lubań</w:t>
      </w:r>
    </w:p>
    <w:p>
      <w:pPr>
        <w:spacing w:after="8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Sygnatura sprawy: KD.5430.664.2026.MB / KD.5430.1085.2026.MB</w:t>
      </w:r>
    </w:p>
    <w:p>
      <w:pPr>
        <w:spacing w:after="80"/>
      </w:pPr>
      <w:r>
        <w:rPr>
          <w:rFonts w:ascii="Times New Roman" w:cs="Times New Roman" w:eastAsia="Times New Roman" w:hAnsi="Times New Roman"/>
          <w:sz w:val="24"/>
          <w:szCs w:val="24"/>
        </w:rPr>
        <w:t xml:space="preserve"/>
      </w:r>
    </w:p>
    <w:p>
      <w:pPr>
        <w:spacing w:after="120" w:before="240"/>
        <w:jc w:val="center"/>
      </w:pPr>
      <w:r>
        <w:rPr>
          <w:rFonts w:ascii="Times New Roman" w:cs="Times New Roman" w:eastAsia="Times New Roman" w:hAnsi="Times New Roman"/>
          <w:b/>
          <w:bCs/>
          <w:sz w:val="28"/>
          <w:szCs w:val="28"/>
        </w:rPr>
        <w:t xml:space="preserve">ODWOŁANIE</w:t>
      </w:r>
    </w:p>
    <w:p>
      <w:pPr>
        <w:spacing w:after="120"/>
        <w:jc w:val="center"/>
      </w:pPr>
      <w:r>
        <w:rPr>
          <w:rFonts w:ascii="Times New Roman" w:cs="Times New Roman" w:eastAsia="Times New Roman" w:hAnsi="Times New Roman"/>
          <w:sz w:val="24"/>
          <w:szCs w:val="24"/>
        </w:rPr>
        <w:t xml:space="preserve">od decyzji Starosty Lubańskiego z dnia 21 kwietnia 2026 r.</w:t>
      </w:r>
    </w:p>
    <w:p>
      <w:pPr>
        <w:spacing w:after="240"/>
        <w:jc w:val="center"/>
      </w:pPr>
      <w:r>
        <w:rPr>
          <w:rFonts w:ascii="Times New Roman" w:cs="Times New Roman" w:eastAsia="Times New Roman" w:hAnsi="Times New Roman"/>
          <w:sz w:val="24"/>
          <w:szCs w:val="24"/>
        </w:rPr>
        <w:t xml:space="preserve">nr KD.5430.1085.2026.MB o skierowaniu na badania lekarskie</w:t>
      </w:r>
    </w:p>
    <w:p>
      <w:pPr>
        <w:spacing w:after="160"/>
        <w:jc w:val="both"/>
      </w:pPr>
      <w:r>
        <w:rPr>
          <w:rFonts w:ascii="Times New Roman" w:cs="Times New Roman" w:eastAsia="Times New Roman" w:hAnsi="Times New Roman"/>
          <w:sz w:val="24"/>
          <w:szCs w:val="24"/>
        </w:rPr>
        <w:t xml:space="preserve">Działając jako strona postępowania administracyjnego, na podstawie </w:t>
      </w:r>
      <w:r>
        <w:rPr>
          <w:rFonts w:ascii="Times New Roman" w:cs="Times New Roman" w:eastAsia="Times New Roman" w:hAnsi="Times New Roman"/>
          <w:b/>
          <w:bCs/>
          <w:sz w:val="24"/>
          <w:szCs w:val="24"/>
        </w:rPr>
        <w:t xml:space="preserve">art. 127 § 1 i 2 oraz art. 129 § 1 i 2 k.p.a.</w:t>
      </w:r>
      <w:r>
        <w:rPr>
          <w:rFonts w:ascii="Times New Roman" w:cs="Times New Roman" w:eastAsia="Times New Roman" w:hAnsi="Times New Roman"/>
          <w:sz w:val="24"/>
          <w:szCs w:val="24"/>
        </w:rPr>
        <w:t xml:space="preserve">, wnoszę odwołanie od decyzji Starosty Lubańskiego z dnia 21 kwietnia 2026 r. (nr KD.5430.1085.2026.MB), doręczonej mi w dniu 26 kwietnia 2026 r., o skierowaniu mnie na badania lekarskie do Wojewódzkiego Ośrodka Medycyny Pracy.</w:t>
      </w:r>
    </w:p>
    <w:p>
      <w:pPr>
        <w:spacing w:after="80"/>
      </w:pPr>
      <w:r>
        <w:rPr>
          <w:rFonts w:ascii="Times New Roman" w:cs="Times New Roman" w:eastAsia="Times New Roman" w:hAnsi="Times New Roman"/>
          <w:sz w:val="24"/>
          <w:szCs w:val="24"/>
        </w:rPr>
        <w:t xml:space="preserve"/>
      </w:r>
    </w:p>
    <w:p>
      <w:pPr>
        <w:pBdr>
          <w:bottom w:val="single" w:color="000000" w:sz="6" w:space="4"/>
        </w:pBdr>
        <w:spacing w:after="240" w:before="240"/>
        <w:jc w:val="center"/>
      </w:pPr>
      <w:r>
        <w:rPr>
          <w:rFonts w:ascii="Times New Roman" w:cs="Times New Roman" w:eastAsia="Times New Roman" w:hAnsi="Times New Roman"/>
          <w:b/>
          <w:bCs/>
          <w:sz w:val="24"/>
          <w:szCs w:val="24"/>
        </w:rPr>
        <w:t xml:space="preserve">ŻĄDANIE</w:t>
      </w:r>
    </w:p>
    <w:p>
      <w:pPr>
        <w:spacing w:after="160"/>
        <w:jc w:val="both"/>
      </w:pPr>
      <w:r>
        <w:rPr>
          <w:rFonts w:ascii="Times New Roman" w:cs="Times New Roman" w:eastAsia="Times New Roman" w:hAnsi="Times New Roman"/>
          <w:sz w:val="24"/>
          <w:szCs w:val="24"/>
        </w:rPr>
        <w:t xml:space="preserve">Wnoszę o:</w:t>
      </w:r>
    </w:p>
    <w:p>
      <w:pPr>
        <w:spacing w:after="80"/>
      </w:pPr>
      <w:r>
        <w:rPr>
          <w:rFonts w:ascii="Times New Roman" w:cs="Times New Roman" w:eastAsia="Times New Roman" w:hAnsi="Times New Roman"/>
          <w:sz w:val="24"/>
          <w:szCs w:val="24"/>
        </w:rPr>
        <w:t xml:space="preserve"/>
      </w:r>
    </w:p>
    <w:p>
      <w:pPr>
        <w:pStyle w:val="ListParagraph"/>
        <w:numPr>
          <w:ilvl w:val="0"/>
          <w:numId w:val="2"/>
        </w:numPr>
        <w:spacing w:after="120"/>
        <w:jc w:val="both"/>
      </w:pPr>
      <w:r>
        <w:rPr>
          <w:rFonts w:ascii="Times New Roman" w:cs="Times New Roman" w:eastAsia="Times New Roman" w:hAnsi="Times New Roman"/>
          <w:b/>
          <w:bCs/>
          <w:sz w:val="24"/>
          <w:szCs w:val="24"/>
        </w:rPr>
        <w:t xml:space="preserve">Uchylenie zaskarżonej decyzji w całości</w:t>
      </w:r>
      <w:r>
        <w:rPr>
          <w:rFonts w:ascii="Times New Roman" w:cs="Times New Roman" w:eastAsia="Times New Roman" w:hAnsi="Times New Roman"/>
          <w:sz w:val="24"/>
          <w:szCs w:val="24"/>
        </w:rPr>
        <w:t xml:space="preserve"> i umorzenie postępowania administracyjnego jako bezprzedmiotowego na podstawie </w:t>
      </w:r>
      <w:r>
        <w:rPr>
          <w:rFonts w:ascii="Times New Roman" w:cs="Times New Roman" w:eastAsia="Times New Roman" w:hAnsi="Times New Roman"/>
          <w:b/>
          <w:bCs/>
          <w:sz w:val="24"/>
          <w:szCs w:val="24"/>
        </w:rPr>
        <w:t xml:space="preserve">art. 105 § 1 k.p.a.</w:t>
      </w:r>
      <w:r>
        <w:rPr>
          <w:rFonts w:ascii="Times New Roman" w:cs="Times New Roman" w:eastAsia="Times New Roman" w:hAnsi="Times New Roman"/>
          <w:sz w:val="24"/>
          <w:szCs w:val="24"/>
        </w:rPr>
        <w:t xml:space="preserve">, wobec braku ustawowej przesłanki „uzasadnionych zastrzeżeń co do stanu zdrowia” w rozumieniu art. 99 ust. 1 pkt 2 ustawy o kierujących pojazdami.</w:t>
      </w:r>
    </w:p>
    <w:p>
      <w:pPr>
        <w:spacing w:after="80"/>
      </w:pPr>
      <w:r>
        <w:rPr>
          <w:rFonts w:ascii="Times New Roman" w:cs="Times New Roman" w:eastAsia="Times New Roman" w:hAnsi="Times New Roman"/>
          <w:sz w:val="24"/>
          <w:szCs w:val="24"/>
        </w:rPr>
        <w:t xml:space="preserve"/>
      </w:r>
    </w:p>
    <w:p>
      <w:pPr>
        <w:pBdr>
          <w:bottom w:val="single" w:color="000000" w:sz="6" w:space="4"/>
        </w:pBdr>
        <w:spacing w:after="240" w:before="240"/>
        <w:jc w:val="center"/>
      </w:pPr>
      <w:r>
        <w:rPr>
          <w:rFonts w:ascii="Times New Roman" w:cs="Times New Roman" w:eastAsia="Times New Roman" w:hAnsi="Times New Roman"/>
          <w:b/>
          <w:bCs/>
          <w:sz w:val="24"/>
          <w:szCs w:val="24"/>
        </w:rPr>
        <w:t xml:space="preserve">ZARZUTY</w:t>
      </w:r>
    </w:p>
    <w:p>
      <w:pPr>
        <w:spacing w:after="120" w:before="200"/>
        <w:ind w:left="0"/>
      </w:pPr>
      <w:r>
        <w:rPr>
          <w:rFonts w:ascii="Times New Roman" w:cs="Times New Roman" w:eastAsia="Times New Roman" w:hAnsi="Times New Roman"/>
          <w:b/>
          <w:bCs/>
          <w:sz w:val="24"/>
          <w:szCs w:val="24"/>
        </w:rPr>
        <w:t xml:space="preserve">I. Zarzuty formalne (naruszenie przepisów postępowania)</w:t>
      </w:r>
    </w:p>
    <w:p>
      <w:pPr>
        <w:spacing w:after="160"/>
        <w:jc w:val="both"/>
      </w:pPr>
      <w:r>
        <w:rPr>
          <w:rFonts w:ascii="Times New Roman" w:cs="Times New Roman" w:eastAsia="Times New Roman" w:hAnsi="Times New Roman"/>
          <w:b/>
          <w:bCs/>
          <w:sz w:val="24"/>
          <w:szCs w:val="24"/>
        </w:rPr>
        <w:t xml:space="preserve">Zarzut 1: Naruszenie art. 107 § 1 pkt 6 i § 3 k.p.a. — brak uzasadnienia decyzji</w:t>
      </w:r>
      <w:r>
        <w:rPr>
          <w:rFonts w:ascii="Times New Roman" w:cs="Times New Roman" w:eastAsia="Times New Roman" w:hAnsi="Times New Roman"/>
          <w:i/>
          <w:iCs/>
          <w:sz w:val="24"/>
          <w:szCs w:val="24"/>
        </w:rPr>
        <w:t xml:space="preserve">  —  Motivatio est anima actus administrativi — uzasadnienie jest duszą aktu administracyjnego.</w:t>
      </w:r>
    </w:p>
    <w:p>
      <w:pPr>
        <w:spacing w:after="160"/>
        <w:jc w:val="both"/>
      </w:pPr>
      <w:r>
        <w:rPr>
          <w:rFonts w:ascii="Times New Roman" w:cs="Times New Roman" w:eastAsia="Times New Roman" w:hAnsi="Times New Roman"/>
          <w:sz w:val="24"/>
          <w:szCs w:val="24"/>
        </w:rPr>
        <w:t xml:space="preserve">Zaskarżona decyzja nie zawiera uzasadnienia faktycznego ani prawnego, do których zamieszczenia organ był bezwzględnie zobowiązany. Zgodnie z art. 107 § 3 k.p.a., uzasadnienie faktyczne powinno zawierać wskazanie faktów uznanych za udowodnione, dowodów na których organ się oparł oraz przyczyn, dla których innym dowodom odmówił wiarygodności i mocy dowodowej. Dokument doręczony stronie stanowi w istocie pismo informacyjne o wydaniu decyzji, a nie decyzję administracyjną w rozumieniu k.p.a. Organ nie zawarł ani jednego zdania wyjaśniającego, dlaczego opinia sądowo-psychiatryczna z dnia 16.08.2025 r. — w świetle jej treści — uzasadnia zastrzeżenia co do zdolności do kierowania pojazdami.</w:t>
      </w:r>
    </w:p>
    <w:p>
      <w:pPr>
        <w:spacing w:after="80"/>
      </w:pPr>
      <w:r>
        <w:rPr>
          <w:rFonts w:ascii="Times New Roman" w:cs="Times New Roman" w:eastAsia="Times New Roman" w:hAnsi="Times New Roman"/>
          <w:sz w:val="24"/>
          <w:szCs w:val="24"/>
        </w:rPr>
        <w:t xml:space="preserve"/>
      </w:r>
    </w:p>
    <w:p>
      <w:pPr>
        <w:spacing w:after="160"/>
        <w:jc w:val="both"/>
      </w:pPr>
      <w:r>
        <w:rPr>
          <w:rFonts w:ascii="Times New Roman" w:cs="Times New Roman" w:eastAsia="Times New Roman" w:hAnsi="Times New Roman"/>
          <w:b/>
          <w:bCs/>
          <w:sz w:val="24"/>
          <w:szCs w:val="24"/>
        </w:rPr>
        <w:t xml:space="preserve">Zarzut 2: Naruszenie § 5 ust. 1 pkt 1 Rozporządzenia Ministra Zdrowia z dnia 3 grudnia 2021 r. — niezgodność z wymaganym wzorem dokumentu</w:t>
      </w:r>
      <w:r>
        <w:rPr>
          <w:rFonts w:ascii="Times New Roman" w:cs="Times New Roman" w:eastAsia="Times New Roman" w:hAnsi="Times New Roman"/>
          <w:i/>
          <w:iCs/>
          <w:sz w:val="24"/>
          <w:szCs w:val="24"/>
        </w:rPr>
        <w:t xml:space="preserve">  —  Forma dat esse rei — forma nadaje rzeczy byt prawny.</w:t>
      </w:r>
    </w:p>
    <w:p>
      <w:pPr>
        <w:spacing w:after="160"/>
        <w:jc w:val="both"/>
      </w:pPr>
      <w:r>
        <w:rPr>
          <w:rFonts w:ascii="Times New Roman" w:cs="Times New Roman" w:eastAsia="Times New Roman" w:hAnsi="Times New Roman"/>
          <w:sz w:val="24"/>
          <w:szCs w:val="24"/>
        </w:rPr>
        <w:t xml:space="preserve">Rozporządzenie Ministra Zdrowia z dnia 3 grudnia 2021 r. w sprawie kursu reedukacyjnego w zakresie problematyki przeciwalkoholowej i przeciwdziałania narkomanii oraz szczegółowych warunków i trybu kierowania na badania lekarskie lub badania psychologiczne w zakresie psychologii transportu (Dz. U. z 2023 r. poz. 1629), przywołane wprost w uzasadnieniu wniosku Prokuratury, przewiduje wydanie skierowania na ściśle określonym druku (wzorze), zawierającym obowiązkowe pola, w tym podstawę prawną i uzasadnienie faktyczne. Stronie doręczono dokument niespełniający wymogów tego wzoru. Skierowanie pozbawione wymaganych pól jest dokumentem wadliwym, niemogącym wywoływać skutków prawnych.</w:t>
      </w:r>
    </w:p>
    <w:p>
      <w:pPr>
        <w:spacing w:after="80"/>
      </w:pPr>
      <w:r>
        <w:rPr>
          <w:rFonts w:ascii="Times New Roman" w:cs="Times New Roman" w:eastAsia="Times New Roman" w:hAnsi="Times New Roman"/>
          <w:sz w:val="24"/>
          <w:szCs w:val="24"/>
        </w:rPr>
        <w:t xml:space="preserve"/>
      </w:r>
    </w:p>
    <w:p>
      <w:pPr>
        <w:spacing w:after="160"/>
        <w:jc w:val="both"/>
      </w:pPr>
      <w:r>
        <w:rPr>
          <w:rFonts w:ascii="Times New Roman" w:cs="Times New Roman" w:eastAsia="Times New Roman" w:hAnsi="Times New Roman"/>
          <w:b/>
          <w:bCs/>
          <w:sz w:val="24"/>
          <w:szCs w:val="24"/>
        </w:rPr>
        <w:t xml:space="preserve">Zarzut 3: Naruszenie art. 8 § 1, art. 10 i art. 11 k.p.a. — z góry przesądzony wynik postępowania i pozorny udział strony</w:t>
      </w:r>
      <w:r>
        <w:rPr>
          <w:rFonts w:ascii="Times New Roman" w:cs="Times New Roman" w:eastAsia="Times New Roman" w:hAnsi="Times New Roman"/>
          <w:i/>
          <w:iCs/>
          <w:sz w:val="24"/>
          <w:szCs w:val="24"/>
        </w:rPr>
        <w:t xml:space="preserve">  —  Audi alteram partem — wysłuchaj drugiej strony.</w:t>
      </w:r>
    </w:p>
    <w:p>
      <w:pPr>
        <w:spacing w:after="160"/>
        <w:jc w:val="both"/>
      </w:pPr>
      <w:r>
        <w:rPr>
          <w:rFonts w:ascii="Times New Roman" w:cs="Times New Roman" w:eastAsia="Times New Roman" w:hAnsi="Times New Roman"/>
          <w:sz w:val="24"/>
          <w:szCs w:val="24"/>
        </w:rPr>
        <w:t xml:space="preserve">Strona złożyła wniosek o umorzenie postępowania w piątek dnia 17 kwietnia 2026 r. W poniedziałek 20 kwietnia 2026 r. — zanim wniosek mógł zostać merytorycznie rozpoznany — pracownik Starostwa zadzwonił na prywatny numer telefonu komórkowego strony i poinformował, że „decyzja i tak zostanie wydana, bo takie mamy procedury”. Następnego dnia, 21 kwietnia 2026 r., decyzja rzeczywiście została wydana.</w:t>
      </w:r>
    </w:p>
    <w:p>
      <w:pPr>
        <w:spacing w:after="160"/>
        <w:jc w:val="both"/>
      </w:pPr>
      <w:r>
        <w:rPr>
          <w:rFonts w:ascii="Times New Roman" w:cs="Times New Roman" w:eastAsia="Times New Roman" w:hAnsi="Times New Roman"/>
          <w:sz w:val="24"/>
          <w:szCs w:val="24"/>
        </w:rPr>
        <w:t xml:space="preserve">Okoliczność ta dowodzi, że organ w ogóle nie rozpatrywał wniosku strony — wynik postępowania był przesądzony z góry, niezależnie od treści jakichkolwiek argumentów. Taka praktyka czyni udział strony w postępowaniu całkowicie iluzorycznym i stanowi rażące naruszenie: zasady zaufania do organów publicznych i zasady bezstronności (art. 8 § 1 k.p.a.), prawa strony do czynnego udziału w postępowaniu (art. 10 § 1 k.p.a.) oraz zasady przekonywania (art. 11 k.p.a.). Wskazuje ponadto, że już od momentu zapoznania się przez stronę z aktami sprawy i złożenia wniosku o przedłużenie terminu, organu podejście do sprawy było jednostronne i z góry założone.</w:t>
      </w:r>
    </w:p>
    <w:p>
      <w:pPr>
        <w:spacing w:after="80"/>
      </w:pPr>
      <w:r>
        <w:rPr>
          <w:rFonts w:ascii="Times New Roman" w:cs="Times New Roman" w:eastAsia="Times New Roman" w:hAnsi="Times New Roman"/>
          <w:sz w:val="24"/>
          <w:szCs w:val="24"/>
        </w:rPr>
        <w:t xml:space="preserve"/>
      </w:r>
    </w:p>
    <w:p>
      <w:pPr>
        <w:spacing w:after="160"/>
        <w:jc w:val="both"/>
      </w:pPr>
      <w:r>
        <w:rPr>
          <w:rFonts w:ascii="Times New Roman" w:cs="Times New Roman" w:eastAsia="Times New Roman" w:hAnsi="Times New Roman"/>
          <w:b/>
          <w:bCs/>
          <w:sz w:val="24"/>
          <w:szCs w:val="24"/>
        </w:rPr>
        <w:t xml:space="preserve">Zarzut 3a: Naruszenie art. 5 ust. 1 lit. b i art. 6 Rozporządzenia (UE) 2016/679 (RODO) — bezprawne przetwarzanie prywatnych danych kontaktowych strony</w:t>
      </w:r>
      <w:r>
        <w:rPr>
          <w:rFonts w:ascii="Times New Roman" w:cs="Times New Roman" w:eastAsia="Times New Roman" w:hAnsi="Times New Roman"/>
          <w:i/>
          <w:iCs/>
          <w:sz w:val="24"/>
          <w:szCs w:val="24"/>
        </w:rPr>
        <w:t xml:space="preserve">  —  Nemo plus iuris ad alium transferre potest quam ipse habet — nikt nie może przekazać więcej praw, niż sam posiada.</w:t>
      </w:r>
    </w:p>
    <w:p>
      <w:pPr>
        <w:spacing w:after="160"/>
        <w:jc w:val="both"/>
      </w:pPr>
      <w:r>
        <w:rPr>
          <w:rFonts w:ascii="Times New Roman" w:cs="Times New Roman" w:eastAsia="Times New Roman" w:hAnsi="Times New Roman"/>
          <w:sz w:val="24"/>
          <w:szCs w:val="24"/>
        </w:rPr>
        <w:t xml:space="preserve">Organ administracji zadzwonił na prywatny numer telefonu komórkowego strony, którego ta nie podawała Starostwu w żadnym piśmie procesowym. Numer ten mógł zostać pozyskany wyłącznie z akt postępowania karnego prowadzonego przez Prokuraturę Rejonową w Lubaniu. Przetwarzanie danych osobowych (numeru telefonu) zebranych w odrębnym postępowaniu karnym do celów nieformalnego kontaktu w postępowaniu administracyjnym stanowi naruszenie zasady ograniczenia celu (art. 5 ust. 1 lit. b RODO) oraz braku podstawy prawnej przetwarzania (art. 6 RODO). Strona zastrzega sobie prawo złożenia skargi do Prezesa Urzędu Ochrony Danych Osobowych.</w:t>
      </w:r>
    </w:p>
    <w:p>
      <w:pPr>
        <w:spacing w:after="80"/>
      </w:pPr>
      <w:r>
        <w:rPr>
          <w:rFonts w:ascii="Times New Roman" w:cs="Times New Roman" w:eastAsia="Times New Roman" w:hAnsi="Times New Roman"/>
          <w:sz w:val="24"/>
          <w:szCs w:val="24"/>
        </w:rPr>
        <w:t xml:space="preserve"/>
      </w:r>
    </w:p>
    <w:p>
      <w:pPr>
        <w:spacing w:after="160"/>
        <w:jc w:val="both"/>
      </w:pPr>
      <w:r>
        <w:rPr>
          <w:rFonts w:ascii="Times New Roman" w:cs="Times New Roman" w:eastAsia="Times New Roman" w:hAnsi="Times New Roman"/>
          <w:b/>
          <w:bCs/>
          <w:sz w:val="24"/>
          <w:szCs w:val="24"/>
        </w:rPr>
        <w:t xml:space="preserve">Zarzut 4: Naruszenie art. 7, art. 77 § 1 i art. 80 k.p.a. — niepełne postępowanie dowodowe i dowolna ocena materiału dowodowego</w:t>
      </w:r>
      <w:r>
        <w:rPr>
          <w:rFonts w:ascii="Times New Roman" w:cs="Times New Roman" w:eastAsia="Times New Roman" w:hAnsi="Times New Roman"/>
          <w:i/>
          <w:iCs/>
          <w:sz w:val="24"/>
          <w:szCs w:val="24"/>
        </w:rPr>
        <w:t xml:space="preserve">  —  Quod non est in actis, non est in mundo — czego nie ma w aktach, nie istnieje w świecie.</w:t>
      </w:r>
    </w:p>
    <w:p>
      <w:pPr>
        <w:spacing w:after="160"/>
        <w:jc w:val="both"/>
      </w:pPr>
      <w:r>
        <w:rPr>
          <w:rFonts w:ascii="Times New Roman" w:cs="Times New Roman" w:eastAsia="Times New Roman" w:hAnsi="Times New Roman"/>
          <w:sz w:val="24"/>
          <w:szCs w:val="24"/>
        </w:rPr>
        <w:t xml:space="preserve">Organ oparł decyzję wyłącznie na wniosku Prokuratury i jednym dokumencie — opinii sądowo-psychiatrycznej z dnia 16.08.2025 r. Nie przeprowadził żadnego postępowania wyjaśniającego, nie odniósł się do faktu drastycznego zawyżenia ilości substancji w postępowaniu karnym (ponad dwudziestokrotnie), nie uwzględnił bezpośredniej kontroli drogowej przeprowadzonej przez Policję bez zastrzeżeń, ani utrwalonego orzecznictwa sądów administracyjnych przytoczonego przez stronę. Przyjęcie jedynie fragmentu opinii (rozpoznanie diagnostyczne F19.2) z całkowitym pominięciem jej wniosków (pełna poczytalność, stabilny stan psychiczny, prawidłowe funkcjonowanie poznawcze) stanowi dowolną, a nie swobodną ocenę dowodów w rozumieniu art. 80 k.p.a.</w:t>
      </w:r>
    </w:p>
    <w:p>
      <w:pPr>
        <w:spacing w:after="80"/>
      </w:pPr>
      <w:r>
        <w:rPr>
          <w:rFonts w:ascii="Times New Roman" w:cs="Times New Roman" w:eastAsia="Times New Roman" w:hAnsi="Times New Roman"/>
          <w:sz w:val="24"/>
          <w:szCs w:val="24"/>
        </w:rPr>
        <w:t xml:space="preserve"/>
      </w:r>
    </w:p>
    <w:p>
      <w:pPr>
        <w:spacing w:after="160"/>
        <w:jc w:val="both"/>
      </w:pPr>
      <w:r>
        <w:rPr>
          <w:rFonts w:ascii="Times New Roman" w:cs="Times New Roman" w:eastAsia="Times New Roman" w:hAnsi="Times New Roman"/>
          <w:b/>
          <w:bCs/>
          <w:sz w:val="24"/>
          <w:szCs w:val="24"/>
        </w:rPr>
        <w:t xml:space="preserve">Zarzut 5: Naruszenie art. 10 § 1 k.p.a. — uniemożliwienie czynnego udziału strony w postępowaniu</w:t>
      </w:r>
      <w:r>
        <w:rPr>
          <w:rFonts w:ascii="Times New Roman" w:cs="Times New Roman" w:eastAsia="Times New Roman" w:hAnsi="Times New Roman"/>
          <w:i/>
          <w:iCs/>
          <w:sz w:val="24"/>
          <w:szCs w:val="24"/>
        </w:rPr>
        <w:t xml:space="preserve">  —  Audiatur et altera pars — niech wysłuchana będzie i druga strona.</w:t>
      </w:r>
    </w:p>
    <w:p>
      <w:pPr>
        <w:spacing w:after="160"/>
        <w:jc w:val="both"/>
      </w:pPr>
      <w:r>
        <w:rPr>
          <w:rFonts w:ascii="Times New Roman" w:cs="Times New Roman" w:eastAsia="Times New Roman" w:hAnsi="Times New Roman"/>
          <w:sz w:val="24"/>
          <w:szCs w:val="24"/>
        </w:rPr>
        <w:t xml:space="preserve">Decyzja wydana w ciągu czterech dni od wpłynięcia wniosku strony zawierającego wnioski dowodowe uniemożliwiła stronie realne skorzystanie z prawa czynnego udziału w postępowaniu, zagwarantowanego w art. 10 § 1 k.p.a.</w:t>
      </w:r>
    </w:p>
    <w:p>
      <w:pPr>
        <w:spacing w:after="80"/>
      </w:pPr>
      <w:r>
        <w:rPr>
          <w:rFonts w:ascii="Times New Roman" w:cs="Times New Roman" w:eastAsia="Times New Roman" w:hAnsi="Times New Roman"/>
          <w:sz w:val="24"/>
          <w:szCs w:val="24"/>
        </w:rPr>
        <w:t xml:space="preserve"/>
      </w:r>
    </w:p>
    <w:p>
      <w:pPr>
        <w:spacing w:after="120" w:before="200"/>
        <w:ind w:left="0"/>
      </w:pPr>
      <w:r>
        <w:rPr>
          <w:rFonts w:ascii="Times New Roman" w:cs="Times New Roman" w:eastAsia="Times New Roman" w:hAnsi="Times New Roman"/>
          <w:b/>
          <w:bCs/>
          <w:sz w:val="24"/>
          <w:szCs w:val="24"/>
        </w:rPr>
        <w:t xml:space="preserve">II. Zarzuty materialnoprawne</w:t>
      </w:r>
    </w:p>
    <w:p>
      <w:pPr>
        <w:spacing w:after="160"/>
        <w:jc w:val="both"/>
      </w:pPr>
      <w:r>
        <w:rPr>
          <w:rFonts w:ascii="Times New Roman" w:cs="Times New Roman" w:eastAsia="Times New Roman" w:hAnsi="Times New Roman"/>
          <w:b/>
          <w:bCs/>
          <w:sz w:val="24"/>
          <w:szCs w:val="24"/>
        </w:rPr>
        <w:t xml:space="preserve">Zarzut 6: Naruszenie art. 99 ust. 1 pkt 2 u.k.p. w zw. z art. 75 ust. 1 pkt 5 u.k.p. — wydanie decyzji przy braku ustawowej przesłanki</w:t>
      </w:r>
      <w:r>
        <w:rPr>
          <w:rFonts w:ascii="Times New Roman" w:cs="Times New Roman" w:eastAsia="Times New Roman" w:hAnsi="Times New Roman"/>
          <w:i/>
          <w:iCs/>
          <w:sz w:val="24"/>
          <w:szCs w:val="24"/>
        </w:rPr>
        <w:t xml:space="preserve">  —  Sine causa nulla obligatio — bez podstawy prawnej nie ma zobowiązania.</w:t>
      </w:r>
    </w:p>
    <w:p>
      <w:pPr>
        <w:spacing w:after="160"/>
        <w:jc w:val="both"/>
      </w:pPr>
      <w:r>
        <w:rPr>
          <w:rFonts w:ascii="Times New Roman" w:cs="Times New Roman" w:eastAsia="Times New Roman" w:hAnsi="Times New Roman"/>
          <w:sz w:val="24"/>
          <w:szCs w:val="24"/>
        </w:rPr>
        <w:t xml:space="preserve">Przepis art. 99 ust. 1 pkt 2 u.k.p. wymaga istnienia „uzasadnionych zastrzeżeń co do stanu zdrowia”, a art. 75 ust. 1 pkt 5 u.k.p. wymaga nadto, aby były to zastrzeżenia „uzasadnione i poważne”. W niniejszej sprawie przesłanki te nie zostały spełnione z następujących powodów:</w:t>
      </w:r>
    </w:p>
    <w:p>
      <w:pPr>
        <w:pStyle w:val="ListParagraph"/>
        <w:numPr>
          <w:ilvl w:val="0"/>
          <w:numId w:val="3"/>
        </w:numPr>
        <w:spacing w:after="100"/>
        <w:jc w:val="both"/>
      </w:pPr>
      <w:r>
        <w:rPr>
          <w:rFonts w:ascii="Times New Roman" w:cs="Times New Roman" w:eastAsia="Times New Roman" w:hAnsi="Times New Roman"/>
          <w:b/>
          <w:bCs/>
          <w:sz w:val="24"/>
          <w:szCs w:val="24"/>
        </w:rPr>
        <w:t xml:space="preserve">Opinia biegłych wprost wyklucza zastrzeżenia odnoszące się do ruchu drogowego. </w:t>
      </w:r>
      <w:r>
        <w:rPr>
          <w:rFonts w:ascii="Times New Roman" w:cs="Times New Roman" w:eastAsia="Times New Roman" w:hAnsi="Times New Roman"/>
          <w:sz w:val="24"/>
          <w:szCs w:val="24"/>
        </w:rPr>
        <w:t xml:space="preserve">W wnioskach opinii z dnia 16.08.2025 r. biegli stwierdzili: pełną poczytalność, stabilny stan psychiczny, brak choroby psychicznej w rozumieniu psychozy endogennej, brak upośledzenia umysłowego oraz prawidłowy globalny poziom funkcjonowania poznawczego. Żadna z tych konkluzji nie uzasadnia zastrzeżeń co do zdolności do bezpiecznego prowadzenia pojazdu.</w:t>
      </w:r>
    </w:p>
    <w:p>
      <w:pPr>
        <w:pStyle w:val="ListParagraph"/>
        <w:numPr>
          <w:ilvl w:val="0"/>
          <w:numId w:val="3"/>
        </w:numPr>
        <w:spacing w:after="100"/>
        <w:jc w:val="both"/>
      </w:pPr>
      <w:r>
        <w:rPr>
          <w:rFonts w:ascii="Times New Roman" w:cs="Times New Roman" w:eastAsia="Times New Roman" w:hAnsi="Times New Roman"/>
          <w:b/>
          <w:bCs/>
          <w:sz w:val="24"/>
          <w:szCs w:val="24"/>
        </w:rPr>
        <w:t xml:space="preserve">Opinia dotyczy postępowania karnego niezwiązanego z ruchem drogowym. </w:t>
      </w:r>
      <w:r>
        <w:rPr>
          <w:rFonts w:ascii="Times New Roman" w:cs="Times New Roman" w:eastAsia="Times New Roman" w:hAnsi="Times New Roman"/>
          <w:sz w:val="24"/>
          <w:szCs w:val="24"/>
        </w:rPr>
        <w:t xml:space="preserve">Sprawa karna (sygn. 4327-0.Ds.517.2025) dotyczy wyłącznie posiadania narkotyków. Nie toczy się i nie toczyło wobec strony żadne postępowanie o prowadzenie pojazdu pod wpływem środków odurzających.</w:t>
      </w:r>
    </w:p>
    <w:p>
      <w:pPr>
        <w:pStyle w:val="ListParagraph"/>
        <w:numPr>
          <w:ilvl w:val="0"/>
          <w:numId w:val="3"/>
        </w:numPr>
        <w:spacing w:after="100"/>
        <w:jc w:val="both"/>
      </w:pPr>
      <w:r>
        <w:rPr>
          <w:rFonts w:ascii="Times New Roman" w:cs="Times New Roman" w:eastAsia="Times New Roman" w:hAnsi="Times New Roman"/>
          <w:b/>
          <w:bCs/>
          <w:sz w:val="24"/>
          <w:szCs w:val="24"/>
        </w:rPr>
        <w:t xml:space="preserve">Brak jakichkolwiek zdarzeń drogowych. </w:t>
      </w:r>
      <w:r>
        <w:rPr>
          <w:rFonts w:ascii="Times New Roman" w:cs="Times New Roman" w:eastAsia="Times New Roman" w:hAnsi="Times New Roman"/>
          <w:sz w:val="24"/>
          <w:szCs w:val="24"/>
        </w:rPr>
        <w:t xml:space="preserve">Strona nie uczestniczyła w żadnym wypadku ani kolizji drogowej mogącej sugerować deficyty psychofizyczne.</w:t>
      </w:r>
    </w:p>
    <w:p>
      <w:pPr>
        <w:pStyle w:val="ListParagraph"/>
        <w:numPr>
          <w:ilvl w:val="0"/>
          <w:numId w:val="3"/>
        </w:numPr>
        <w:spacing w:after="100"/>
        <w:jc w:val="both"/>
      </w:pPr>
      <w:r>
        <w:rPr>
          <w:rFonts w:ascii="Times New Roman" w:cs="Times New Roman" w:eastAsia="Times New Roman" w:hAnsi="Times New Roman"/>
          <w:b/>
          <w:bCs/>
          <w:sz w:val="24"/>
          <w:szCs w:val="24"/>
        </w:rPr>
        <w:t xml:space="preserve">Kontrola drogowa Policji bez zastrzeżeń. </w:t>
      </w:r>
      <w:r>
        <w:rPr>
          <w:rFonts w:ascii="Times New Roman" w:cs="Times New Roman" w:eastAsia="Times New Roman" w:hAnsi="Times New Roman"/>
          <w:sz w:val="24"/>
          <w:szCs w:val="24"/>
        </w:rPr>
        <w:t xml:space="preserve">W czasie bezpośrednio poprzedzającym wszczęcie postępowania funkcjonariusze Policji przeprowadzili kontrolę drogową, po której dopuścili stronę do dalszej jazdy, nie stwierdzając żadnych przeszkód zdrowotnych.</w:t>
      </w:r>
    </w:p>
    <w:p>
      <w:pPr>
        <w:pStyle w:val="ListParagraph"/>
        <w:numPr>
          <w:ilvl w:val="0"/>
          <w:numId w:val="3"/>
        </w:numPr>
        <w:spacing w:after="100"/>
        <w:jc w:val="both"/>
      </w:pPr>
      <w:r>
        <w:rPr>
          <w:rFonts w:ascii="Times New Roman" w:cs="Times New Roman" w:eastAsia="Times New Roman" w:hAnsi="Times New Roman"/>
          <w:b/>
          <w:bCs/>
          <w:sz w:val="24"/>
          <w:szCs w:val="24"/>
        </w:rPr>
        <w:t xml:space="preserve">Drastyczne zawyżenie ilości substancji w aktach prokuratury. </w:t>
      </w:r>
      <w:r>
        <w:rPr>
          <w:rFonts w:ascii="Times New Roman" w:cs="Times New Roman" w:eastAsia="Times New Roman" w:hAnsi="Times New Roman"/>
          <w:sz w:val="24"/>
          <w:szCs w:val="24"/>
        </w:rPr>
        <w:t xml:space="preserve">Komisyjne, powtórne ważenie wykazało faktyczne ilości: ok. 0,18 g marihuany i 1,8 g metamfetaminy, wobec zarzucanych 7,59 g i 34,96 g. Opinia biegłych oparta była na zawyżonym obrazie faktycznym, co podważa jej wartość dowodową w zakresie oceny stopnia uzależnienia.</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20" w:before="200"/>
        <w:ind w:left="0"/>
      </w:pPr>
      <w:r>
        <w:rPr>
          <w:rFonts w:ascii="Times New Roman" w:cs="Times New Roman" w:eastAsia="Times New Roman" w:hAnsi="Times New Roman"/>
          <w:b/>
          <w:bCs/>
          <w:sz w:val="24"/>
          <w:szCs w:val="24"/>
        </w:rPr>
        <w:t xml:space="preserve">III. Wiążące orzecznictwo sądów administracyjnych</w:t>
      </w:r>
    </w:p>
    <w:p>
      <w:pPr>
        <w:spacing w:after="160"/>
        <w:jc w:val="both"/>
      </w:pPr>
      <w:r>
        <w:rPr>
          <w:rFonts w:ascii="Times New Roman" w:cs="Times New Roman" w:eastAsia="Times New Roman" w:hAnsi="Times New Roman"/>
          <w:b/>
          <w:bCs/>
          <w:sz w:val="24"/>
          <w:szCs w:val="24"/>
        </w:rPr>
        <w:t xml:space="preserve">Wyrok WSA w Gdańsku z dnia 3 lipca 2014 r., sygn. III SA/Gd 346/14 </w:t>
      </w:r>
      <w:r>
        <w:rPr>
          <w:rFonts w:ascii="Times New Roman" w:cs="Times New Roman" w:eastAsia="Times New Roman" w:hAnsi="Times New Roman"/>
          <w:sz w:val="24"/>
          <w:szCs w:val="24"/>
        </w:rPr>
        <w:t xml:space="preserve">— orzeczenie wydane w niemal identycznym stanie faktycznym (prokurator żądający skierowania na podstawie opinii sądowo-psychiatrycznej z postępowania karnego niezwiązanego z ruchem drogowym). Sąd uchylił decyzje obu instancji, stwierdzając, że: (1) zastrzeżenia co do stanu zdrowia muszą dotyczyć aspektów zdrowia mogących wpłynąć na zdolność bezpiecznego prowadzenia pojazdu; (2) opinia potwierdzająca pełną poczytalność i stabilny stan psychiczny nie daje podstaw do skierowania; (3) skierowanie na badania nie może być dodatkową represją wobec osoby poddanej badaniom sądowo-psychiatrycznym w sprawie niezwiązanej z ruchem drogowym.</w:t>
      </w:r>
    </w:p>
    <w:p>
      <w:pPr>
        <w:spacing w:after="80"/>
      </w:pPr>
      <w:r>
        <w:rPr>
          <w:rFonts w:ascii="Times New Roman" w:cs="Times New Roman" w:eastAsia="Times New Roman" w:hAnsi="Times New Roman"/>
          <w:sz w:val="24"/>
          <w:szCs w:val="24"/>
        </w:rPr>
        <w:t xml:space="preserve"/>
      </w:r>
    </w:p>
    <w:p>
      <w:pPr>
        <w:spacing w:after="160"/>
        <w:jc w:val="both"/>
      </w:pPr>
      <w:r>
        <w:rPr>
          <w:rFonts w:ascii="Times New Roman" w:cs="Times New Roman" w:eastAsia="Times New Roman" w:hAnsi="Times New Roman"/>
          <w:b/>
          <w:bCs/>
          <w:sz w:val="24"/>
          <w:szCs w:val="24"/>
        </w:rPr>
        <w:t xml:space="preserve">Wyrok WSA w Gdańsku z dnia 20 grudnia 2018 r., sygn. III SA/Gd 599/18 </w:t>
      </w:r>
      <w:r>
        <w:rPr>
          <w:rFonts w:ascii="Times New Roman" w:cs="Times New Roman" w:eastAsia="Times New Roman" w:hAnsi="Times New Roman"/>
          <w:sz w:val="24"/>
          <w:szCs w:val="24"/>
        </w:rPr>
        <w:t xml:space="preserve">— sąd oddalił skargę prokuratora kwestionującego umorzenie postępowania, uznając, że samo rozpoznanie uzależnienia przy jednoczesnej abstynencji i braku objawów psychotycznych nie stanowi podstawy do skierowania na badania lekarskie.</w:t>
      </w:r>
    </w:p>
    <w:p>
      <w:pPr>
        <w:spacing w:after="80"/>
      </w:pPr>
      <w:r>
        <w:rPr>
          <w:rFonts w:ascii="Times New Roman" w:cs="Times New Roman" w:eastAsia="Times New Roman" w:hAnsi="Times New Roman"/>
          <w:sz w:val="24"/>
          <w:szCs w:val="24"/>
        </w:rPr>
        <w:t xml:space="preserve"/>
      </w:r>
    </w:p>
    <w:p>
      <w:pPr>
        <w:spacing w:after="160"/>
        <w:jc w:val="both"/>
      </w:pPr>
      <w:r>
        <w:rPr>
          <w:rFonts w:ascii="Times New Roman" w:cs="Times New Roman" w:eastAsia="Times New Roman" w:hAnsi="Times New Roman"/>
          <w:b/>
          <w:bCs/>
          <w:sz w:val="24"/>
          <w:szCs w:val="24"/>
        </w:rPr>
        <w:t xml:space="preserve">Wyrok WSA w Gdańsku z dnia 4 kwietnia 2012 r., sygn. III SA/Gd 41/12 </w:t>
      </w:r>
      <w:r>
        <w:rPr>
          <w:rFonts w:ascii="Times New Roman" w:cs="Times New Roman" w:eastAsia="Times New Roman" w:hAnsi="Times New Roman"/>
          <w:sz w:val="24"/>
          <w:szCs w:val="24"/>
        </w:rPr>
        <w:t xml:space="preserve">— prawo do prowadzenia pojazdów ma charakter podmiotowy; jego ograniczenie może nastąpić wyłącznie w przypadkach spełnienia ścisłych ustawowych przesłanek; podstawą skierowania mogą być jedynie konkretne zastrzeżenia co do stanu zdrowia bezpośrednio wskazujące na możliwość istnienia przeciwwskazań do kierowania.</w:t>
      </w:r>
    </w:p>
    <w:p>
      <w:pPr>
        <w:spacing w:after="80"/>
      </w:pPr>
      <w:r>
        <w:rPr>
          <w:rFonts w:ascii="Times New Roman" w:cs="Times New Roman" w:eastAsia="Times New Roman" w:hAnsi="Times New Roman"/>
          <w:sz w:val="24"/>
          <w:szCs w:val="24"/>
        </w:rPr>
        <w:t xml:space="preserve"/>
      </w:r>
    </w:p>
    <w:p>
      <w:pPr>
        <w:spacing w:after="120" w:before="200"/>
        <w:ind w:left="0"/>
      </w:pPr>
      <w:r>
        <w:rPr>
          <w:rFonts w:ascii="Times New Roman" w:cs="Times New Roman" w:eastAsia="Times New Roman" w:hAnsi="Times New Roman"/>
          <w:b/>
          <w:bCs/>
          <w:sz w:val="24"/>
          <w:szCs w:val="24"/>
        </w:rPr>
        <w:t xml:space="preserve">IV. Dodatkowe zarzuty materialnoprawne i procesowe</w:t>
      </w:r>
    </w:p>
    <w:p>
      <w:pPr>
        <w:spacing w:after="160"/>
        <w:jc w:val="both"/>
      </w:pPr>
      <w:r>
        <w:rPr>
          <w:rFonts w:ascii="Times New Roman" w:cs="Times New Roman" w:eastAsia="Times New Roman" w:hAnsi="Times New Roman"/>
          <w:b/>
          <w:bCs/>
          <w:sz w:val="24"/>
          <w:szCs w:val="24"/>
        </w:rPr>
        <w:t xml:space="preserve">Zarzut 7: Naruszenie art. 99 ust. 1 pkt 2 u.k.p. — wniosek prokuratora nie spełnia ustawowego progu „uzasadnionych zastrzeżeń”</w:t>
      </w:r>
      <w:r>
        <w:rPr>
          <w:rFonts w:ascii="Times New Roman" w:cs="Times New Roman" w:eastAsia="Times New Roman" w:hAnsi="Times New Roman"/>
          <w:i/>
          <w:iCs/>
          <w:sz w:val="24"/>
          <w:szCs w:val="24"/>
        </w:rPr>
        <w:t xml:space="preserve">  —  Certum est quod certum reddi potest — pewne jest tylko to, co można uczynić pewnym.</w:t>
      </w:r>
    </w:p>
    <w:p>
      <w:pPr>
        <w:spacing w:after="160"/>
        <w:jc w:val="both"/>
      </w:pPr>
      <w:r>
        <w:rPr>
          <w:rFonts w:ascii="Times New Roman" w:cs="Times New Roman" w:eastAsia="Times New Roman" w:hAnsi="Times New Roman"/>
          <w:sz w:val="24"/>
          <w:szCs w:val="24"/>
        </w:rPr>
        <w:t xml:space="preserve">Treść wniosku Prokuratury Rejonowej w Lubaniu z dnia 06.03.2026 r. posługuje się językiem hipotetycznym: przywołane okoliczności „wskazują na możliwość wystąpienia zastrzeżeń w stanie zdrowia”. Tymczasem art. 99 ust. 1 pkt 2 u.k.p. wymaga zastrzeżeń „uzasadnionych” — nie potencjalnych, nie możliwych, nie hipotetycznych. Prokuratura sama przyznaje, że nie posiada pewności co do istnienia zastrzeżeń, lecz jedynie podejrzenie. Starosta oparł decyzję na wniosku, który na poziomie językowym nie spełnia ustawowego progu uprawniającego do skierowania na badania.</w:t>
      </w:r>
    </w:p>
    <w:p>
      <w:pPr>
        <w:spacing w:after="80"/>
      </w:pPr>
      <w:r>
        <w:rPr>
          <w:rFonts w:ascii="Times New Roman" w:cs="Times New Roman" w:eastAsia="Times New Roman" w:hAnsi="Times New Roman"/>
          <w:sz w:val="24"/>
          <w:szCs w:val="24"/>
        </w:rPr>
        <w:t xml:space="preserve"/>
      </w:r>
    </w:p>
    <w:p>
      <w:pPr>
        <w:spacing w:after="160"/>
        <w:jc w:val="both"/>
      </w:pPr>
      <w:r>
        <w:rPr>
          <w:rFonts w:ascii="Times New Roman" w:cs="Times New Roman" w:eastAsia="Times New Roman" w:hAnsi="Times New Roman"/>
          <w:b/>
          <w:bCs/>
          <w:sz w:val="24"/>
          <w:szCs w:val="24"/>
        </w:rPr>
        <w:t xml:space="preserve">Zarzut 8: Naruszenie art. 84 k.p.a. — organ przejął opinię sporządzoną w innym celu zamiast powołać własnego biegłego</w:t>
      </w:r>
      <w:r>
        <w:rPr>
          <w:rFonts w:ascii="Times New Roman" w:cs="Times New Roman" w:eastAsia="Times New Roman" w:hAnsi="Times New Roman"/>
          <w:i/>
          <w:iCs/>
          <w:sz w:val="24"/>
          <w:szCs w:val="24"/>
        </w:rPr>
        <w:t xml:space="preserve">  —  Nemo ultra posse obligatur — nikt nie jest zobowiązany ponad możność; organ nie może opierać się na dowodzie sporządzonym w innym celu.</w:t>
      </w:r>
    </w:p>
    <w:p>
      <w:pPr>
        <w:spacing w:after="160"/>
        <w:jc w:val="both"/>
      </w:pPr>
      <w:r>
        <w:rPr>
          <w:rFonts w:ascii="Times New Roman" w:cs="Times New Roman" w:eastAsia="Times New Roman" w:hAnsi="Times New Roman"/>
          <w:sz w:val="24"/>
          <w:szCs w:val="24"/>
        </w:rPr>
        <w:t xml:space="preserve">Opinia sądowo-psychiatryczna z dnia 16.08.2025 r. została sporządzona na potrzeby postępowania karnego w celu oceny poczytalności strony w rozumieniu art. 31 Kodeksu karnego. Jest to ocena zdolności do rozumienia znaczenia czynu i pokierowania swoim postępowaniem — zupełnie inny standard niż ocena zdolności do bezpiecznego prowadzenia pojazdu w rozumieniu prawa o ruchu drogowym i medycyny transportu. Opinia nie zawiera żadnych ustaleń dotyczących czasów reakcji, koncentracji uwagi, sprawności psychomotorycznej ani jakiegokolwiek kryterium diagnostycznego właściwego dla oceny zdolności do kierowania.</w:t>
      </w:r>
    </w:p>
    <w:p>
      <w:pPr>
        <w:spacing w:after="160"/>
        <w:jc w:val="both"/>
      </w:pPr>
      <w:r>
        <w:rPr>
          <w:rFonts w:ascii="Times New Roman" w:cs="Times New Roman" w:eastAsia="Times New Roman" w:hAnsi="Times New Roman"/>
          <w:sz w:val="24"/>
          <w:szCs w:val="24"/>
        </w:rPr>
        <w:t xml:space="preserve">Gdyby organ miał uzasadnione wątpliwości co do stanu zdrowia strony, przepis art. 84 k.p.a. obligował go do powołania biegłego w ramach niniejszego postępowania administracyjnego. Przejęcie gotowej opinii sporządzonej dla innych celów, w innym postępowaniu, według innych kryteriów, stanowi również naruszenie art. 77 § 1 k.p.a.</w:t>
      </w:r>
    </w:p>
    <w:p>
      <w:pPr>
        <w:spacing w:after="80"/>
      </w:pPr>
      <w:r>
        <w:rPr>
          <w:rFonts w:ascii="Times New Roman" w:cs="Times New Roman" w:eastAsia="Times New Roman" w:hAnsi="Times New Roman"/>
          <w:sz w:val="24"/>
          <w:szCs w:val="24"/>
        </w:rPr>
        <w:t xml:space="preserve"/>
      </w:r>
    </w:p>
    <w:p>
      <w:pPr>
        <w:spacing w:after="160"/>
        <w:jc w:val="both"/>
      </w:pPr>
      <w:r>
        <w:rPr>
          <w:rFonts w:ascii="Times New Roman" w:cs="Times New Roman" w:eastAsia="Times New Roman" w:hAnsi="Times New Roman"/>
          <w:b/>
          <w:bCs/>
          <w:sz w:val="24"/>
          <w:szCs w:val="24"/>
        </w:rPr>
        <w:t xml:space="preserve">Zarzut 9: Naruszenie art. 42 ust. 3 Konstytucji RP — ograniczenie praw obywatela przed wydaniem aktu oskarżenia</w:t>
      </w:r>
      <w:r>
        <w:rPr>
          <w:rFonts w:ascii="Times New Roman" w:cs="Times New Roman" w:eastAsia="Times New Roman" w:hAnsi="Times New Roman"/>
          <w:i/>
          <w:iCs/>
          <w:sz w:val="24"/>
          <w:szCs w:val="24"/>
        </w:rPr>
        <w:t xml:space="preserve">  —  Praesumptio innocentiae, in dubio pro reo — domniemanie niewinności; w razie wątpliwości rozstrzygać na korzyść podejrzanego.</w:t>
      </w:r>
    </w:p>
    <w:p>
      <w:pPr>
        <w:spacing w:after="160"/>
        <w:jc w:val="both"/>
      </w:pPr>
      <w:r>
        <w:rPr>
          <w:rFonts w:ascii="Times New Roman" w:cs="Times New Roman" w:eastAsia="Times New Roman" w:hAnsi="Times New Roman"/>
          <w:sz w:val="24"/>
          <w:szCs w:val="24"/>
        </w:rPr>
        <w:t xml:space="preserve">W chwili wydania zaskarżonej decyzji wobec strony nie został nawet sporządzony akt oskarżenia. Strona posiada status podejrzanego w śledztwie — najwcześniejszy i najmniej zaawansowany etap postępowania karnego, na którym żadna z okoliczności faktycznych nie została jeszcze stwierdzona prawomocnym orzeczeniem sądu. Nie ma wyroku. Nie ma aktu oskarżenia. Nie ma nawet zamkniętego śledztwa.</w:t>
      </w:r>
    </w:p>
    <w:p>
      <w:pPr>
        <w:spacing w:after="160"/>
        <w:jc w:val="both"/>
      </w:pPr>
      <w:r>
        <w:rPr>
          <w:rFonts w:ascii="Times New Roman" w:cs="Times New Roman" w:eastAsia="Times New Roman" w:hAnsi="Times New Roman"/>
          <w:sz w:val="24"/>
          <w:szCs w:val="24"/>
        </w:rPr>
        <w:t xml:space="preserve">Organ administracyjny ograniczył prawa obywatela opierając się wyłącznie na materiale śledczym, w sytuacji gdy fakty leżące u podstaw wniosku prokuratury są nadal sporne — w tym w szczególności ilości substancji zawyżone ponad dwudziestokrotnie w pierwotnych zarzutach. Zasada domniemania niewinności wyrażona w art. 42 ust. 3 Konstytucji RP zakazuje traktowania osoby jedynie podejrzewanej o czyn jako gdyby wina została już udowodniona. Decyzja Starosty wydana na podstawie materiałów ze wstępnego etapu śledztwa, jeszcze przed wniesieniem aktu oskarżenia, narusza tę zasadę.</w:t>
      </w:r>
    </w:p>
    <w:p>
      <w:pPr>
        <w:spacing w:after="80"/>
      </w:pPr>
      <w:r>
        <w:rPr>
          <w:rFonts w:ascii="Times New Roman" w:cs="Times New Roman" w:eastAsia="Times New Roman" w:hAnsi="Times New Roman"/>
          <w:sz w:val="24"/>
          <w:szCs w:val="24"/>
        </w:rPr>
        <w:t xml:space="preserve"/>
      </w:r>
    </w:p>
    <w:p>
      <w:pPr>
        <w:spacing w:after="160"/>
        <w:jc w:val="both"/>
      </w:pPr>
      <w:r>
        <w:rPr>
          <w:rFonts w:ascii="Times New Roman" w:cs="Times New Roman" w:eastAsia="Times New Roman" w:hAnsi="Times New Roman"/>
          <w:b/>
          <w:bCs/>
          <w:sz w:val="24"/>
          <w:szCs w:val="24"/>
        </w:rPr>
        <w:t xml:space="preserve">Zarzut 10: Naruszenie art. 6, 7 i 8 § 1 k.p.a. oraz art. 99 ust. 1 pkt 2 u.k.p. — automatyzm decyzyjny i zaniechanie wykonania uznania administracyjnego</w:t>
      </w:r>
      <w:r>
        <w:rPr>
          <w:rFonts w:ascii="Times New Roman" w:cs="Times New Roman" w:eastAsia="Times New Roman" w:hAnsi="Times New Roman"/>
          <w:i/>
          <w:iCs/>
          <w:sz w:val="24"/>
          <w:szCs w:val="24"/>
        </w:rPr>
        <w:t xml:space="preserve">  —  Summum ius, summa iniuria — skrajna litera prawa to skrajna niesprawiedliwość.</w:t>
      </w:r>
    </w:p>
    <w:p>
      <w:pPr>
        <w:spacing w:after="160"/>
        <w:jc w:val="both"/>
      </w:pPr>
      <w:r>
        <w:rPr>
          <w:rFonts w:ascii="Times New Roman" w:cs="Times New Roman" w:eastAsia="Times New Roman" w:hAnsi="Times New Roman"/>
          <w:sz w:val="24"/>
          <w:szCs w:val="24"/>
        </w:rPr>
        <w:t xml:space="preserve">Przepis art. 99 ust. 1 pkt 2 ustawy o kierujących pojazdami posługuje się formułą „starosta może skierować”. Użycie słowa „może” nie jest przypadkowe — ustawodawca przyznał organowi uznanie administracyjne, zobowiązując go do samodzielnej i indywidualnej oceny czy przesłanki skierowania są spełnione w konkretnym stanie faktycznym. Decyzja nie jest automatyczną konsekwencją wpływu wniosku prokuratury — jest wynikiem własnego, merytorycznego osądu organu.</w:t>
      </w:r>
    </w:p>
    <w:p>
      <w:pPr>
        <w:spacing w:after="160"/>
        <w:jc w:val="both"/>
      </w:pPr>
      <w:r>
        <w:rPr>
          <w:rFonts w:ascii="Times New Roman" w:cs="Times New Roman" w:eastAsia="Times New Roman" w:hAnsi="Times New Roman"/>
          <w:sz w:val="24"/>
          <w:szCs w:val="24"/>
        </w:rPr>
        <w:t xml:space="preserve">Tymczasem ze wszystkich okoliczności niniejszej sprawy wynika, że organ takiej oceny nigdy nie dokonał. Pracownik Starostwa poinformował stronę telefonicznie, że „decyzja i tak zostanie wydana, bo takie mamy procedury”. Jest to przyznanie wprost, że organ traktuje każdy wniosek prokuratury jako automatycznie wiążący i nie dokonuje żadnej indywidualnej analizy przesłanek ustawowych. W ten sposób Starosta Lubański de facto przeniósł kompetencję decyzyjną na prokuraturę, redukując własną rolę do technicznego wykonania cudzego wniosku. Działanie takie stanowi rażące naruszenie zasady legalizmu (art. 6 k.p.a.), zasady prawdy obiektywnej i działania w interesie strony (art. 7 k.p.a.) oraz zasady zaufania i bezstronności (art. 8 § 1 k.p.a.).</w:t>
      </w:r>
    </w:p>
    <w:p>
      <w:pPr>
        <w:spacing w:after="160"/>
        <w:jc w:val="both"/>
      </w:pPr>
      <w:r>
        <w:rPr>
          <w:rFonts w:ascii="Times New Roman" w:cs="Times New Roman" w:eastAsia="Times New Roman" w:hAnsi="Times New Roman"/>
          <w:sz w:val="24"/>
          <w:szCs w:val="24"/>
        </w:rPr>
        <w:t xml:space="preserve">Automatyzm decyzyjny jest jednoznacznie kwestionowany w orzecznictwie sądów administracyjnych. Uznanie administracyjne nie oznacza dowolności — oznacza obowiązek wyważenia wszystkich okoliczności sprawy i wydania decyzji będącej wynikiem rzeczywistej oceny, nie zaś mechanicznego stosowania „procedury”. Decyzja wydana w wyniku automatyzmu, bez indywidualnego rozpoznania sprawy, jest wadliwa i podlega uchyleniu.</w:t>
      </w:r>
    </w:p>
    <w:p>
      <w:pPr>
        <w:spacing w:after="80"/>
      </w:pPr>
      <w:r>
        <w:rPr>
          <w:rFonts w:ascii="Times New Roman" w:cs="Times New Roman" w:eastAsia="Times New Roman" w:hAnsi="Times New Roman"/>
          <w:sz w:val="24"/>
          <w:szCs w:val="24"/>
        </w:rPr>
        <w:t xml:space="preserve"/>
      </w:r>
    </w:p>
    <w:p>
      <w:pPr>
        <w:spacing w:after="160"/>
        <w:jc w:val="both"/>
      </w:pPr>
      <w:r>
        <w:rPr>
          <w:rFonts w:ascii="Times New Roman" w:cs="Times New Roman" w:eastAsia="Times New Roman" w:hAnsi="Times New Roman"/>
          <w:b/>
          <w:bCs/>
          <w:sz w:val="24"/>
          <w:szCs w:val="24"/>
        </w:rPr>
        <w:t xml:space="preserve">Zarzut 11: Naruszenie art. 75, 77 § 1 i 80 k.p.a. — opinia biegłych oparta na fałszywych danych faktycznych utraciła moc dowodową</w:t>
      </w:r>
      <w:r>
        <w:rPr>
          <w:rFonts w:ascii="Times New Roman" w:cs="Times New Roman" w:eastAsia="Times New Roman" w:hAnsi="Times New Roman"/>
          <w:i/>
          <w:iCs/>
          <w:sz w:val="24"/>
          <w:szCs w:val="24"/>
        </w:rPr>
        <w:t xml:space="preserve">  —  Falsus in uno, falsus in omnibus — fałszywy w jednym, fałszywy we wszystkim.</w:t>
      </w:r>
    </w:p>
    <w:p>
      <w:pPr>
        <w:spacing w:after="160"/>
        <w:jc w:val="both"/>
      </w:pPr>
      <w:r>
        <w:rPr>
          <w:rFonts w:ascii="Times New Roman" w:cs="Times New Roman" w:eastAsia="Times New Roman" w:hAnsi="Times New Roman"/>
          <w:sz w:val="24"/>
          <w:szCs w:val="24"/>
        </w:rPr>
        <w:t xml:space="preserve">Opinia sądowo-psychiatryczna z dnia 16.08.2025 r. została sporządzona w oparciu o opis stanu faktycznego, który następnie okazał się rążowo nieprawdziwy. W pierwotnych zarzutach stronie przypisano posiadanie ok. 35 g metamfetaminy i ok. 7,5 g marihuany. Komisyjne, powtórne ważenie wykazało, że rzeczywiste ilości wynosiły odpowiednio ok. 1,8 g i ok. 0,18 g — a więc ponad dwudziestokrotnie mniej niż w obrazie faktycznym prezentowanym biegłym.</w:t>
      </w:r>
    </w:p>
    <w:p>
      <w:pPr>
        <w:spacing w:after="160"/>
        <w:jc w:val="both"/>
      </w:pPr>
      <w:r>
        <w:rPr>
          <w:rFonts w:ascii="Times New Roman" w:cs="Times New Roman" w:eastAsia="Times New Roman" w:hAnsi="Times New Roman"/>
          <w:sz w:val="24"/>
          <w:szCs w:val="24"/>
        </w:rPr>
        <w:t xml:space="preserve">Biegli sporządzający opinię oceniali osobę rzekomo posiadającą duże ilości substancji psychoaktywnych. Taka osoba nigdy nie istniała. Opinia opisuje stan zdrowia kogoś, kim strona nie jest i nie była. Wnioski dotyczące stopnia uzależnienia są nierozdzielnie powiązane z obrazem faktycznym, na którym je oparto — a ten obraz jest fałszywy.</w:t>
      </w:r>
    </w:p>
    <w:p>
      <w:pPr>
        <w:spacing w:after="160"/>
        <w:jc w:val="both"/>
      </w:pPr>
      <w:r>
        <w:rPr>
          <w:rFonts w:ascii="Times New Roman" w:cs="Times New Roman" w:eastAsia="Times New Roman" w:hAnsi="Times New Roman"/>
          <w:sz w:val="24"/>
          <w:szCs w:val="24"/>
        </w:rPr>
        <w:t xml:space="preserve">Zgodnie z art. 80 k.p.a. organ ocenia wiarygodność i moc dowodową dowodów według własnego przekonania, opartego na wszechstronnym rozważeniu zebranego materiału. Żadna racjonalna ocena dowodów nie pozwala na uznanie za wiarygodny dokumentu, którego przesłanki faktyczne zostały obalone. Opinia biegłych oparta na fałszywym obrazie faktycznym traci moc dowodową i nie może stanowić podstawy jakiejkolwiek decyzji administracyjnej. Organ, który mimo tego ją przyjął jako dowód, naruszył art. 75, 77 § 1 i 80 k.p.a.</w:t>
      </w:r>
    </w:p>
    <w:p>
      <w:pPr>
        <w:spacing w:after="160"/>
        <w:jc w:val="both"/>
      </w:pPr>
      <w:r>
        <w:rPr>
          <w:rFonts w:ascii="Times New Roman" w:cs="Times New Roman" w:eastAsia="Times New Roman" w:hAnsi="Times New Roman"/>
          <w:sz w:val="24"/>
          <w:szCs w:val="24"/>
        </w:rPr>
        <w:t xml:space="preserve">Konkluzja jest jednoznaczna: skoro nawet przy obrażliwie zawyżonym, nieprawdziwym obrazie faktycznym biegli nie stwierdzili żadnych zaburzeń dyskwalifikujących stronę jako kierowcę, to opinia ta — niezależnie od jej wad formalnych — sama w sobie obala przesłankę „uzasadnionych zastrzeżeń”. Nie ma żadnego powodu ani podstawy prawnej do przeprowadzania jakichkolwiek dalszych badań lekarskich. Postępowanie powinno być umorzone w całości.</w:t>
      </w:r>
    </w:p>
    <w:p>
      <w:pPr>
        <w:spacing w:after="80"/>
      </w:pPr>
      <w:r>
        <w:rPr>
          <w:rFonts w:ascii="Times New Roman" w:cs="Times New Roman" w:eastAsia="Times New Roman" w:hAnsi="Times New Roman"/>
          <w:sz w:val="24"/>
          <w:szCs w:val="24"/>
        </w:rPr>
        <w:t xml:space="preserve"/>
      </w:r>
    </w:p>
    <w:p>
      <w:pPr>
        <w:spacing w:after="120" w:before="200"/>
        <w:ind w:left="0"/>
      </w:pPr>
      <w:r>
        <w:rPr>
          <w:rFonts w:ascii="Times New Roman" w:cs="Times New Roman" w:eastAsia="Times New Roman" w:hAnsi="Times New Roman"/>
          <w:b/>
          <w:bCs/>
          <w:sz w:val="24"/>
          <w:szCs w:val="24"/>
        </w:rPr>
        <w:t xml:space="preserve">V. Zarzut naruszenia Konstytucji RP — proporcjonalność</w:t>
      </w:r>
    </w:p>
    <w:p>
      <w:pPr>
        <w:spacing w:after="160"/>
        <w:jc w:val="both"/>
      </w:pPr>
      <w:r>
        <w:rPr>
          <w:rFonts w:ascii="Times New Roman" w:cs="Times New Roman" w:eastAsia="Times New Roman" w:hAnsi="Times New Roman"/>
          <w:sz w:val="24"/>
          <w:szCs w:val="24"/>
        </w:rPr>
        <w:t xml:space="preserve">Zaskarżona decyzja narusza </w:t>
      </w:r>
      <w:r>
        <w:rPr>
          <w:rFonts w:ascii="Times New Roman" w:cs="Times New Roman" w:eastAsia="Times New Roman" w:hAnsi="Times New Roman"/>
          <w:b/>
          <w:bCs/>
          <w:sz w:val="24"/>
          <w:szCs w:val="24"/>
        </w:rPr>
        <w:t xml:space="preserve">art. 31 ust. 3 Konstytucji RP</w:t>
      </w:r>
      <w:r>
        <w:rPr>
          <w:rFonts w:ascii="Times New Roman" w:cs="Times New Roman" w:eastAsia="Times New Roman" w:hAnsi="Times New Roman"/>
          <w:sz w:val="24"/>
          <w:szCs w:val="24"/>
        </w:rPr>
        <w:t xml:space="preserve">, statuujący zasadę proporcjonalności. Ingerencja organu w prawa obywatelskie jest dopuszczalna wyłącznie wtedy, gdy jest konieczna i proporcjonalna do celu, któremu ma służyć. Skierowanie na badania osoby, co do której opinia sądowo-psychiatryczna potwierdza pełną poczytalność i brak jakichkolwiek zagrożeń dla ruchu drogowego, jest działaniem nieproporcjonalnym i niecelowym, niemogącym znaleźć uzasadnienia w treści art. 99 u.k.p. Narusza również </w:t>
      </w:r>
      <w:r>
        <w:rPr>
          <w:rFonts w:ascii="Times New Roman" w:cs="Times New Roman" w:eastAsia="Times New Roman" w:hAnsi="Times New Roman"/>
          <w:b/>
          <w:bCs/>
          <w:sz w:val="24"/>
          <w:szCs w:val="24"/>
        </w:rPr>
        <w:t xml:space="preserve">art. 2 Konstytucji RP</w:t>
      </w:r>
      <w:r>
        <w:rPr>
          <w:rFonts w:ascii="Times New Roman" w:cs="Times New Roman" w:eastAsia="Times New Roman" w:hAnsi="Times New Roman"/>
          <w:sz w:val="24"/>
          <w:szCs w:val="24"/>
        </w:rPr>
        <w:t xml:space="preserve"> — zasadę demokratycznego państwa prawnego i zakaz arbitralności organów administracji.</w:t>
      </w:r>
    </w:p>
    <w:p>
      <w:pPr>
        <w:spacing w:after="80"/>
      </w:pPr>
      <w:r>
        <w:rPr>
          <w:rFonts w:ascii="Times New Roman" w:cs="Times New Roman" w:eastAsia="Times New Roman" w:hAnsi="Times New Roman"/>
          <w:sz w:val="24"/>
          <w:szCs w:val="24"/>
        </w:rPr>
        <w:t xml:space="preserve"/>
      </w:r>
    </w:p>
    <w:p>
      <w:pPr>
        <w:pBdr>
          <w:bottom w:val="single" w:color="000000" w:sz="6" w:space="4"/>
        </w:pBdr>
        <w:spacing w:after="240" w:before="240"/>
        <w:jc w:val="center"/>
      </w:pPr>
      <w:r>
        <w:rPr>
          <w:rFonts w:ascii="Times New Roman" w:cs="Times New Roman" w:eastAsia="Times New Roman" w:hAnsi="Times New Roman"/>
          <w:b/>
          <w:bCs/>
          <w:sz w:val="24"/>
          <w:szCs w:val="24"/>
        </w:rPr>
        <w:t xml:space="preserve">UZASADNIENIE WNIOSKU O UMORZENIE</w:t>
      </w:r>
    </w:p>
    <w:p>
      <w:pPr>
        <w:spacing w:after="160"/>
        <w:jc w:val="both"/>
      </w:pPr>
      <w:r>
        <w:rPr>
          <w:rFonts w:ascii="Times New Roman" w:cs="Times New Roman" w:eastAsia="Times New Roman" w:hAnsi="Times New Roman"/>
          <w:sz w:val="24"/>
          <w:szCs w:val="24"/>
        </w:rPr>
        <w:t xml:space="preserve">Skoro treść opinii sądowo-psychiatrycznej — jedynego dokumentu stanowiącego podstawę wniosku Prokuratury — potwierdza pełną poczytalność strony, stabilny stan psychiczny, prawidłowy poziom funkcjonowania poznawczego oraz brak choroby psychicznej, to nie istnieje przesłanka „uzasadnionych zastrzeżeń co do stanu zdrowia” w rozumieniu art. 99 ust. 1 pkt 2 u.k.p. Przesłanka ta jest warunkiem sine qua non wszczęcia i prowadzenia postępowania. Jej brak czyni postępowanie bezprzedmiotowym w rozumieniu art. 105 § 1 k.p.a., a organ zobowiązany jest je umorzyć.</w:t>
      </w:r>
    </w:p>
    <w:p>
      <w:pPr>
        <w:spacing w:after="80"/>
      </w:pPr>
      <w:r>
        <w:rPr>
          <w:rFonts w:ascii="Times New Roman" w:cs="Times New Roman" w:eastAsia="Times New Roman" w:hAnsi="Times New Roman"/>
          <w:sz w:val="24"/>
          <w:szCs w:val="24"/>
        </w:rPr>
        <w:t xml:space="preserve"/>
      </w:r>
    </w:p>
    <w:p>
      <w:pPr>
        <w:spacing w:after="160"/>
        <w:jc w:val="both"/>
      </w:pPr>
      <w:r>
        <w:rPr>
          <w:rFonts w:ascii="Times New Roman" w:cs="Times New Roman" w:eastAsia="Times New Roman" w:hAnsi="Times New Roman"/>
          <w:sz w:val="24"/>
          <w:szCs w:val="24"/>
        </w:rPr>
        <w:t xml:space="preserve">Kolegium związane jest utrwaloną linią orzeczniczą sądów administracyjnych, zgodnie z którą „uzasadnione zastrzeżenia co do stanu zdrowia” muszą dotyczyć tych aspektów zdrowia, które mogłyby mieć bezpośredni wpływ na zdolność do bezpiecznego prowadzenia pojazdu. Jedyna opinia w aktach sprawy — sporządzona przez biegłych na zlecenie Prokuratury — takich zastrzeżeń nie zawiera. Przeciwnie: potwierdza pełną poczytalność, stabilny stan psychiczny i prawidłowe funkcjonowanie poznawcze. Przesłanka ustawowa nie tylko nie została wykazana — została wprost wykluczona przez jedyny dostępny dowód. Postępowanie jest bezprzedmiotowe i musi zostać umorzone. Nie ma żadnego uzasadnienia dla skierowania strony na jakiekolwiek badania lekarskie.</w:t>
      </w:r>
    </w:p>
    <w:p>
      <w:pPr>
        <w:spacing w:after="80"/>
      </w:pPr>
      <w:r>
        <w:rPr>
          <w:rFonts w:ascii="Times New Roman" w:cs="Times New Roman" w:eastAsia="Times New Roman" w:hAnsi="Times New Roman"/>
          <w:sz w:val="24"/>
          <w:szCs w:val="24"/>
        </w:rPr>
        <w:t xml:space="preserve"/>
      </w:r>
    </w:p>
    <w:p>
      <w:pPr>
        <w:pBdr>
          <w:bottom w:val="single" w:color="000000" w:sz="6" w:space="4"/>
        </w:pBdr>
        <w:spacing w:after="240" w:before="240"/>
        <w:jc w:val="center"/>
      </w:pPr>
      <w:r>
        <w:rPr>
          <w:rFonts w:ascii="Times New Roman" w:cs="Times New Roman" w:eastAsia="Times New Roman" w:hAnsi="Times New Roman"/>
          <w:b/>
          <w:bCs/>
          <w:sz w:val="24"/>
          <w:szCs w:val="24"/>
        </w:rPr>
        <w:t xml:space="preserve">WNIOSKI DOWODOWE</w:t>
      </w:r>
    </w:p>
    <w:p>
      <w:pPr>
        <w:spacing w:after="160"/>
        <w:jc w:val="both"/>
      </w:pPr>
      <w:r>
        <w:rPr>
          <w:rFonts w:ascii="Times New Roman" w:cs="Times New Roman" w:eastAsia="Times New Roman" w:hAnsi="Times New Roman"/>
          <w:sz w:val="24"/>
          <w:szCs w:val="24"/>
        </w:rPr>
        <w:t xml:space="preserve">Wnoszę o dopuszczenie i przeprowadzenie następujących dowodów:</w:t>
      </w:r>
    </w:p>
    <w:p>
      <w:pPr>
        <w:spacing w:after="80"/>
      </w:pPr>
      <w:r>
        <w:rPr>
          <w:rFonts w:ascii="Times New Roman" w:cs="Times New Roman" w:eastAsia="Times New Roman" w:hAnsi="Times New Roman"/>
          <w:sz w:val="24"/>
          <w:szCs w:val="24"/>
        </w:rPr>
        <w:t xml:space="preserve"/>
      </w:r>
    </w:p>
    <w:p>
      <w:pPr>
        <w:pStyle w:val="ListParagraph"/>
        <w:numPr>
          <w:ilvl w:val="0"/>
          <w:numId w:val="2"/>
        </w:numPr>
        <w:spacing w:after="120"/>
        <w:jc w:val="both"/>
      </w:pPr>
      <w:r>
        <w:rPr>
          <w:rFonts w:ascii="Times New Roman" w:cs="Times New Roman" w:eastAsia="Times New Roman" w:hAnsi="Times New Roman"/>
          <w:sz w:val="24"/>
          <w:szCs w:val="24"/>
        </w:rPr>
        <w:t xml:space="preserve">Opinia sądowo-psychiatryczno-psychologiczna z dnia 16.08.2025 r. (sygn. 4327-0.Ds.517.2025) — na okoliczność potwierdzenia pełnej poczytalności, stabilnego stanu psychicznego, braku psychozy i prawidłowego funkcjonowania poznawczego strony.</w:t>
      </w:r>
    </w:p>
    <w:p>
      <w:pPr>
        <w:pStyle w:val="ListParagraph"/>
        <w:numPr>
          <w:ilvl w:val="0"/>
          <w:numId w:val="2"/>
        </w:numPr>
        <w:spacing w:after="120"/>
        <w:jc w:val="both"/>
      </w:pPr>
      <w:r>
        <w:rPr>
          <w:rFonts w:ascii="Times New Roman" w:cs="Times New Roman" w:eastAsia="Times New Roman" w:hAnsi="Times New Roman"/>
          <w:sz w:val="24"/>
          <w:szCs w:val="24"/>
        </w:rPr>
        <w:t xml:space="preserve">Wniosek strony o umorzenie postępowania z dnia 17.04.2026 r. — na okoliczność wykazania, że Starosta wydał decyzję bez jakiegokolwiek ustosunkowania się do podniesionych zarzutów.</w:t>
      </w:r>
    </w:p>
    <w:p>
      <w:pPr>
        <w:pStyle w:val="ListParagraph"/>
        <w:numPr>
          <w:ilvl w:val="0"/>
          <w:numId w:val="2"/>
        </w:numPr>
        <w:spacing w:after="120"/>
        <w:jc w:val="both"/>
      </w:pPr>
      <w:r>
        <w:rPr>
          <w:rFonts w:ascii="Times New Roman" w:cs="Times New Roman" w:eastAsia="Times New Roman" w:hAnsi="Times New Roman"/>
          <w:sz w:val="24"/>
          <w:szCs w:val="24"/>
        </w:rPr>
        <w:t xml:space="preserve">Protokół komisyjnego ważenia narkotyków z akt sprawy karnej — na okoliczność wykazania ponad dwudziestokrotnego zawyżenia ilości substancji w pierwotnym postanowieniu o zarzutach, co rzutuje na wartość dowodową opinii biegłych.</w:t>
      </w:r>
    </w:p>
    <w:p>
      <w:pPr>
        <w:spacing w:after="80"/>
      </w:pPr>
      <w:r>
        <w:rPr>
          <w:rFonts w:ascii="Times New Roman" w:cs="Times New Roman" w:eastAsia="Times New Roman" w:hAnsi="Times New Roman"/>
          <w:sz w:val="24"/>
          <w:szCs w:val="24"/>
        </w:rPr>
        <w:t xml:space="preserve"/>
      </w:r>
    </w:p>
    <w:p>
      <w:pPr>
        <w:pBdr>
          <w:bottom w:val="single" w:color="000000" w:sz="6" w:space="4"/>
        </w:pBdr>
        <w:spacing w:after="240" w:before="240"/>
        <w:jc w:val="center"/>
      </w:pPr>
      <w:r>
        <w:rPr>
          <w:rFonts w:ascii="Times New Roman" w:cs="Times New Roman" w:eastAsia="Times New Roman" w:hAnsi="Times New Roman"/>
          <w:b/>
          <w:bCs/>
          <w:sz w:val="24"/>
          <w:szCs w:val="24"/>
        </w:rPr>
        <w:t xml:space="preserve">PODSUMOWANIE</w:t>
      </w:r>
    </w:p>
    <w:p>
      <w:pPr>
        <w:spacing w:after="160"/>
        <w:jc w:val="both"/>
      </w:pPr>
      <w:r>
        <w:rPr>
          <w:rFonts w:ascii="Times New Roman" w:cs="Times New Roman" w:eastAsia="Times New Roman" w:hAnsi="Times New Roman"/>
          <w:sz w:val="24"/>
          <w:szCs w:val="24"/>
        </w:rPr>
        <w:t xml:space="preserve">Zaskarżona decyzja jest wadliwa zarówno formalnie, jak i materialnoprawnie. Formalnie — narusza art. 107 § 1 pkt 6, § 3 k.p.a. poprzez brak uzasadnienia; narusza wzór dokumentu wymagany rozporządzeniem Ministra Zdrowia; narusza art. 11, 10, 7, 77 i 80 k.p.a. Materialnoprawnie — wydano ją przy braku ustawowej przesłanki, wbrew jednoznacznym wnioskom opinii biegłych i utrwalonej linii orzeczniczej sądów administracyjnych. Podtrzymanie decyzji przez SKO oznaczałoby zastosowanie art. 99 u.k.p. jako instrumentu represji — czemu explicite sprzeciwił się WSA w Gdańsku w wyroku III SA/Gd 346/14.</w:t>
      </w:r>
    </w:p>
    <w:p>
      <w:pPr>
        <w:spacing w:after="80"/>
      </w:pPr>
      <w:r>
        <w:rPr>
          <w:rFonts w:ascii="Times New Roman" w:cs="Times New Roman" w:eastAsia="Times New Roman" w:hAnsi="Times New Roman"/>
          <w:sz w:val="24"/>
          <w:szCs w:val="24"/>
        </w:rPr>
        <w:t xml:space="preserve"/>
      </w:r>
    </w:p>
    <w:p>
      <w:pPr>
        <w:spacing w:after="160"/>
        <w:jc w:val="both"/>
      </w:pPr>
      <w:r>
        <w:rPr>
          <w:rFonts w:ascii="Times New Roman" w:cs="Times New Roman" w:eastAsia="Times New Roman" w:hAnsi="Times New Roman"/>
          <w:sz w:val="24"/>
          <w:szCs w:val="24"/>
        </w:rPr>
        <w:t xml:space="preserve">Mając na uwadze powyższe, wnoszę jak na wstępie.</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0"/>
      </w:pPr>
      <w:r>
        <w:rPr>
          <w:rFonts w:ascii="Times New Roman" w:cs="Times New Roman" w:eastAsia="Times New Roman" w:hAnsi="Times New Roman"/>
          <w:sz w:val="24"/>
          <w:szCs w:val="24"/>
        </w:rPr>
        <w:t xml:space="preserve">Z poważaniem,</w:t>
      </w:r>
    </w:p>
    <w:p>
      <w:pPr>
        <w:spacing w:after="80"/>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Marcin Pałka</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b/>
          <w:bCs/>
          <w:sz w:val="24"/>
          <w:szCs w:val="24"/>
        </w:rPr>
        <w:t xml:space="preserve">Załączniki:</w:t>
      </w:r>
    </w:p>
    <w:p>
      <w:pPr>
        <w:pStyle w:val="ListParagraph"/>
        <w:numPr>
          <w:ilvl w:val="0"/>
          <w:numId w:val="2"/>
        </w:numPr>
        <w:spacing w:after="120"/>
        <w:jc w:val="both"/>
      </w:pPr>
      <w:r>
        <w:rPr>
          <w:rFonts w:ascii="Times New Roman" w:cs="Times New Roman" w:eastAsia="Times New Roman" w:hAnsi="Times New Roman"/>
          <w:sz w:val="24"/>
          <w:szCs w:val="24"/>
        </w:rPr>
        <w:t xml:space="preserve">Kopia opinii sądowo-psychiatryczno-psychologicznej z dnia 16.08.2025 r.</w:t>
      </w:r>
    </w:p>
    <w:p>
      <w:pPr>
        <w:pStyle w:val="ListParagraph"/>
        <w:numPr>
          <w:ilvl w:val="0"/>
          <w:numId w:val="2"/>
        </w:numPr>
        <w:spacing w:after="120"/>
        <w:jc w:val="both"/>
      </w:pPr>
      <w:r>
        <w:rPr>
          <w:rFonts w:ascii="Times New Roman" w:cs="Times New Roman" w:eastAsia="Times New Roman" w:hAnsi="Times New Roman"/>
          <w:sz w:val="24"/>
          <w:szCs w:val="24"/>
        </w:rPr>
        <w:t xml:space="preserve">Kopia wniosku o umorzenie postępowania z dnia 17.04.2026 r.</w:t>
      </w:r>
    </w:p>
    <w:p>
      <w:pPr>
        <w:pStyle w:val="ListParagraph"/>
        <w:numPr>
          <w:ilvl w:val="0"/>
          <w:numId w:val="2"/>
        </w:numPr>
        <w:spacing w:after="120"/>
        <w:jc w:val="both"/>
      </w:pPr>
      <w:r>
        <w:rPr>
          <w:rFonts w:ascii="Times New Roman" w:cs="Times New Roman" w:eastAsia="Times New Roman" w:hAnsi="Times New Roman"/>
          <w:sz w:val="24"/>
          <w:szCs w:val="24"/>
        </w:rPr>
        <w:t xml:space="preserve">Kopia zaskarżonej decyzji z dnia 21.04.2026 r.</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2026-05-07T05:57:25.132Z</dcterms:created>
  <dcterms:modified xsi:type="dcterms:W3CDTF">2026-05-07T05:57:25.132Z</dcterms:modified>
</cp:coreProperties>
</file>

<file path=docProps/custom.xml><?xml version="1.0" encoding="utf-8"?>
<Properties xmlns="http://schemas.openxmlformats.org/officeDocument/2006/custom-properties" xmlns:vt="http://schemas.openxmlformats.org/officeDocument/2006/docPropsVTypes"/>
</file>