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6800" cy="1066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38800" cy="762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38800" cy="76200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388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Практическое занятие № 15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Студент группы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ИКБО-42-23,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Голев Семён Сергеевич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C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</w:t>
            </w: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» 11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e23dyjoxv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ПОСТАНОВКА ЗАДАЧИ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построить и сохранить в файле текстового формата бизнес-процессы.</w:t>
      </w:r>
    </w:p>
    <w:p w:rsidR="00000000" w:rsidDel="00000000" w:rsidP="00000000" w:rsidRDefault="00000000" w:rsidRPr="00000000" w14:paraId="00000035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 ХОД РАБОТЫ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3975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Модель процесса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Зарегистрировать багаж на рейс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pnmjxyz8rnj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before="0" w:line="360" w:lineRule="auto"/>
        <w:ind w:left="0" w:right="0" w:firstLine="0"/>
        <w:rPr/>
      </w:pPr>
      <w:bookmarkStart w:colFirst="0" w:colLast="0" w:name="_e4j10q8qs1ls" w:id="2"/>
      <w:bookmarkEnd w:id="2"/>
      <w:r w:rsidDel="00000000" w:rsidR="00000000" w:rsidRPr="00000000">
        <w:rPr>
          <w:rtl w:val="0"/>
        </w:rPr>
        <w:t xml:space="preserve">3 ЗАКЛЮЧЕНИЕ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практического задания был построен процесс «Зарегистрировать багаж на рейс».</w:t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7cjzeixacwt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СПИСОК ИНФОРМАЦИОННЫХ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vpfdv7ioa2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Сильвер Б. BPMN – Метод и стиль / Брюс Сильвер; Пер с англ. — 2-е изд. — Астана: Zerde Publishing, 2025 — 188 c.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Каменнова М. С., Крохин В. В., Машков И. В. Моделирование бизнес процессов. В 2 ч. Часть 1 [Электронный ресурс]: Учебник и практикум для вузов. — Москва: Юрайт, 2021. — 282 с.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 [Электронный ресурс]: учебное пособие / Ю. В. Кириллина, И. А. Семичастнов. — М.: РТУ МИРЭА, 2022.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Кириллина Ю. В., Черняускас В. В., Леонов Д. А., Лентяева Т. В. Моделирование бизнес-процессов [Электронный ресурс]:рабочая тетрадь. — М.: РТУ МИРЭА, 2023.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курс.</w:t>
      </w:r>
    </w:p>
    <w:sectPr>
      <w:footerReference r:id="rId9" w:type="default"/>
      <w:footerReference r:id="rId10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76" w:hanging="567.0000000000002"/>
      </w:pPr>
      <w:rPr/>
    </w:lvl>
    <w:lvl w:ilvl="1">
      <w:start w:val="1"/>
      <w:numFmt w:val="lowerLetter"/>
      <w:lvlText w:val="%2."/>
      <w:lvlJc w:val="left"/>
      <w:pPr>
        <w:ind w:left="2251" w:hanging="360"/>
      </w:pPr>
      <w:rPr/>
    </w:lvl>
    <w:lvl w:ilvl="2">
      <w:start w:val="1"/>
      <w:numFmt w:val="lowerRoman"/>
      <w:lvlText w:val="%3."/>
      <w:lvlJc w:val="right"/>
      <w:pPr>
        <w:ind w:left="2971" w:hanging="180"/>
      </w:pPr>
      <w:rPr/>
    </w:lvl>
    <w:lvl w:ilvl="3">
      <w:start w:val="1"/>
      <w:numFmt w:val="decimal"/>
      <w:lvlText w:val="%4."/>
      <w:lvlJc w:val="left"/>
      <w:pPr>
        <w:ind w:left="3691" w:hanging="360"/>
      </w:pPr>
      <w:rPr/>
    </w:lvl>
    <w:lvl w:ilvl="4">
      <w:start w:val="1"/>
      <w:numFmt w:val="lowerLetter"/>
      <w:lvlText w:val="%5."/>
      <w:lvlJc w:val="left"/>
      <w:pPr>
        <w:ind w:left="4411" w:hanging="360"/>
      </w:pPr>
      <w:rPr/>
    </w:lvl>
    <w:lvl w:ilvl="5">
      <w:start w:val="1"/>
      <w:numFmt w:val="lowerRoman"/>
      <w:lvlText w:val="%6."/>
      <w:lvlJc w:val="right"/>
      <w:pPr>
        <w:ind w:left="5131" w:hanging="180"/>
      </w:pPr>
      <w:rPr/>
    </w:lvl>
    <w:lvl w:ilvl="6">
      <w:start w:val="1"/>
      <w:numFmt w:val="decimal"/>
      <w:lvlText w:val="%7."/>
      <w:lvlJc w:val="left"/>
      <w:pPr>
        <w:ind w:left="5851" w:hanging="360"/>
      </w:pPr>
      <w:rPr/>
    </w:lvl>
    <w:lvl w:ilvl="7">
      <w:start w:val="1"/>
      <w:numFmt w:val="lowerLetter"/>
      <w:lvlText w:val="%8."/>
      <w:lvlJc w:val="left"/>
      <w:pPr>
        <w:ind w:left="6571" w:hanging="360"/>
      </w:pPr>
      <w:rPr/>
    </w:lvl>
    <w:lvl w:ilvl="8">
      <w:start w:val="1"/>
      <w:numFmt w:val="lowerRoman"/>
      <w:lvlText w:val="%9."/>
      <w:lvlJc w:val="right"/>
      <w:pPr>
        <w:ind w:left="7291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6" w:lineRule="auto"/>
      <w:ind w:left="697" w:right="238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