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5.0" w:type="dxa"/>
        <w:jc w:val="left"/>
        <w:tblLayout w:type="fixed"/>
        <w:tblLook w:val="0400"/>
      </w:tblPr>
      <w:tblGrid>
        <w:gridCol w:w="9355"/>
        <w:tblGridChange w:id="0">
          <w:tblGrid>
            <w:gridCol w:w="9355"/>
          </w:tblGrid>
        </w:tblGridChange>
      </w:tblGrid>
      <w:tr>
        <w:trPr>
          <w:cantSplit w:val="1"/>
          <w:trHeight w:val="180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spacing w:before="60" w:line="360" w:lineRule="auto"/>
              <w:ind w:hanging="142"/>
              <w:jc w:val="center"/>
              <w:rPr>
                <w:rFonts w:ascii="Times New Roman" w:cs="Times New Roman" w:eastAsia="Times New Roman" w:hAnsi="Times New Roman"/>
                <w:smallCap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</w:rPr>
              <w:drawing>
                <wp:inline distB="0" distT="0" distL="0" distR="0">
                  <wp:extent cx="1066800" cy="1066800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1066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spacing w:before="60" w:line="360" w:lineRule="auto"/>
              <w:ind w:firstLine="567"/>
              <w:jc w:val="center"/>
              <w:rPr>
                <w:rFonts w:ascii="Times New Roman" w:cs="Times New Roman" w:eastAsia="Times New Roman" w:hAnsi="Times New Roman"/>
                <w:smallCap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mallCaps w:val="1"/>
                <w:rtl w:val="0"/>
              </w:rPr>
              <w:t xml:space="preserve">МИНОБРНАУКИ РОССИИ</w:t>
            </w:r>
          </w:p>
        </w:tc>
      </w:tr>
      <w:tr>
        <w:trPr>
          <w:cantSplit w:val="1"/>
          <w:trHeight w:val="1417" w:hRule="atLeast"/>
          <w:tblHeader w:val="0"/>
        </w:trPr>
        <w:tc>
          <w:tcPr/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40" w:before="0" w:line="216" w:lineRule="auto"/>
              <w:ind w:left="0" w:right="0" w:firstLine="567"/>
              <w:jc w:val="center"/>
              <w:rPr>
                <w:rFonts w:ascii="Times New Roman" w:cs="Times New Roman" w:eastAsia="Times New Roman" w:hAnsi="Times New Roman"/>
                <w:b w:val="1"/>
                <w:i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Федеральное государственное бюджетное образовательное учреждение</w:t>
              <w:br w:type="textWrapping"/>
              <w:t xml:space="preserve">высшего образования</w:t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«МИРЭА </w:t>
            </w:r>
            <w:r w:rsidDel="00000000" w:rsidR="00000000" w:rsidRPr="00000000">
              <w:rPr>
                <w:rFonts w:ascii="Symbol" w:cs="Symbol" w:eastAsia="Symbol" w:hAnsi="Symbo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−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Российский технологический университет»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spacing w:line="360" w:lineRule="auto"/>
              <w:ind w:firstLine="567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2"/>
                <w:szCs w:val="32"/>
                <w:rtl w:val="0"/>
              </w:rPr>
              <w:t xml:space="preserve"> РТУ МИРЭА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2"/>
                <w:szCs w:val="32"/>
              </w:rPr>
              <mc:AlternateContent>
                <mc:Choice Requires="wpg">
                  <w:drawing>
                    <wp:inline distB="0" distT="0" distL="0" distR="0">
                      <wp:extent cx="5600700" cy="38100"/>
                      <wp:effectExtent b="0" l="0" r="0" t="0"/>
                      <wp:docPr id="1" name=""/>
                      <a:graphic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rot="10800000">
                                <a:off x="2545650" y="3779365"/>
                                <a:ext cx="5600700" cy="127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dbl" w="38100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med" w="med" type="none"/>
                                <a:tailEnd len="med" w="med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drawing>
                    <wp:inline distB="0" distT="0" distL="0" distR="0">
                      <wp:extent cx="5600700" cy="38100"/>
                      <wp:effectExtent b="0" l="0" r="0" t="0"/>
                      <wp:docPr id="1" name="image6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6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5600700" cy="381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Институт информационных технологий (ИИТ)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Кафедра практической и прикладной информатики (ППИ)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ОТЧЕТ ПО ПРАКТИЧЕСКОЙ РАБОТЕ</w:t>
      </w:r>
    </w:p>
    <w:p w:rsidR="00000000" w:rsidDel="00000000" w:rsidP="00000000" w:rsidRDefault="00000000" w:rsidRPr="00000000" w14:paraId="0000000B">
      <w:pPr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 дисциплине «Моделирование бизнес-процессов»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Практическое занятие № 10</w:t>
      </w:r>
    </w:p>
    <w:p w:rsidR="00000000" w:rsidDel="00000000" w:rsidP="00000000" w:rsidRDefault="00000000" w:rsidRPr="00000000" w14:paraId="0000000F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138.0" w:type="dxa"/>
        <w:jc w:val="left"/>
        <w:tblInd w:w="-108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2547"/>
        <w:gridCol w:w="4819"/>
        <w:gridCol w:w="1106"/>
        <w:gridCol w:w="560"/>
        <w:gridCol w:w="1106"/>
        <w:tblGridChange w:id="0">
          <w:tblGrid>
            <w:gridCol w:w="2547"/>
            <w:gridCol w:w="4819"/>
            <w:gridCol w:w="1106"/>
            <w:gridCol w:w="560"/>
            <w:gridCol w:w="110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ind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Студент группы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ffff"/>
                <w:rtl w:val="0"/>
              </w:rPr>
              <w:t xml:space="preserve">ИНБО-01-17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ind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ind w:firstLine="0"/>
              <w:jc w:val="left"/>
              <w:rPr>
                <w:rFonts w:ascii="Times New Roman" w:cs="Times New Roman" w:eastAsia="Times New Roman" w:hAnsi="Times New Roman"/>
                <w:i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rtl w:val="0"/>
              </w:rPr>
              <w:t xml:space="preserve">ИКБО-42-23, </w:t>
            </w:r>
            <w:r w:rsidDel="00000000" w:rsidR="00000000" w:rsidRPr="00000000">
              <w:rPr>
                <w:i w:val="1"/>
                <w:rtl w:val="0"/>
              </w:rPr>
              <w:t xml:space="preserve">Голев Семён Сергеевич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15">
            <w:pPr>
              <w:pBdr>
                <w:bottom w:color="000000" w:space="1" w:sz="12" w:val="single"/>
              </w:pBdr>
              <w:ind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ind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(подпись)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ind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9">
            <w:pPr>
              <w:ind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Преподаватель</w:t>
            </w:r>
          </w:p>
          <w:p w:rsidR="00000000" w:rsidDel="00000000" w:rsidP="00000000" w:rsidRDefault="00000000" w:rsidRPr="00000000" w14:paraId="0000001A">
            <w:pPr>
              <w:ind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ind w:firstLine="0"/>
              <w:jc w:val="left"/>
              <w:rPr>
                <w:rFonts w:ascii="Times New Roman" w:cs="Times New Roman" w:eastAsia="Times New Roman" w:hAnsi="Times New Roman"/>
                <w:i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rtl w:val="0"/>
              </w:rPr>
              <w:t xml:space="preserve">Карамышев Антон Николаевич</w:t>
            </w:r>
          </w:p>
          <w:p w:rsidR="00000000" w:rsidDel="00000000" w:rsidP="00000000" w:rsidRDefault="00000000" w:rsidRPr="00000000" w14:paraId="0000001C">
            <w:pPr>
              <w:ind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1D">
            <w:pPr>
              <w:pBdr>
                <w:bottom w:color="000000" w:space="1" w:sz="12" w:val="single"/>
              </w:pBdr>
              <w:ind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pBdr>
                <w:bottom w:color="000000" w:space="1" w:sz="12" w:val="single"/>
              </w:pBdr>
              <w:ind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ind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(подпись)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ind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2">
            <w:pPr>
              <w:ind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ind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Отчет представлен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24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«</w:t>
            </w:r>
            <w:r w:rsidDel="00000000" w:rsidR="00000000" w:rsidRPr="00000000">
              <w:rPr>
                <w:rtl w:val="0"/>
              </w:rPr>
              <w:t xml:space="preserve">23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» 10 2025г.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2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9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Постановка задачи: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построенные и сохраненные в файле текстового формата бизнес-процессы, представленный преподавателю в виде отчета.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Задание 1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36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940115" cy="23114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31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Рисунок 1 – Модель процесса «Вырастить репку»</w:t>
      </w:r>
    </w:p>
    <w:p w:rsidR="00000000" w:rsidDel="00000000" w:rsidP="00000000" w:rsidRDefault="00000000" w:rsidRPr="00000000" w14:paraId="00000038">
      <w:pPr>
        <w:spacing w:line="36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940115" cy="2832100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83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Рисунок 2 – Модель процесса «Нанять сотрудника»</w:t>
      </w:r>
    </w:p>
    <w:p w:rsidR="00000000" w:rsidDel="00000000" w:rsidP="00000000" w:rsidRDefault="00000000" w:rsidRPr="00000000" w14:paraId="0000003A">
      <w:pPr>
        <w:spacing w:line="36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543550" cy="5162550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43550" cy="5162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Рисунок 3 – Модель подпроцесса «Нанять кандидата на вакансию»</w:t>
      </w:r>
    </w:p>
    <w:p w:rsidR="00000000" w:rsidDel="00000000" w:rsidP="00000000" w:rsidRDefault="00000000" w:rsidRPr="00000000" w14:paraId="0000003C">
      <w:pPr>
        <w:spacing w:line="36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/>
        <w:drawing>
          <wp:inline distB="114300" distT="114300" distL="114300" distR="114300">
            <wp:extent cx="5940115" cy="30480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0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Рисунок 4 – Модель подпроцесса «Оформить документы»</w:t>
      </w:r>
    </w:p>
    <w:p w:rsidR="00000000" w:rsidDel="00000000" w:rsidP="00000000" w:rsidRDefault="00000000" w:rsidRPr="00000000" w14:paraId="0000003E">
      <w:pPr>
        <w:spacing w:line="36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940115" cy="30480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0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Рисунок 5 – Модель подпроцесса «Обучить нового сотрудника»</w:t>
      </w:r>
    </w:p>
    <w:p w:rsidR="00000000" w:rsidDel="00000000" w:rsidP="00000000" w:rsidRDefault="00000000" w:rsidRPr="00000000" w14:paraId="00000040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Заключение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В ходе выполнения практического задания были рассмотрены и детально описаны основные подпроцессы бизнес-процесса «Заключение договора»: инициирование процедуры, подготовка проекта договора, внутреннее согласование, согласование с контрагентом и подписание договора. Для каждого подпроцесса определены его цели, исполнители, входящие и исходящие документы, а также регламентные сроки выполнения.</w:t>
      </w:r>
    </w:p>
    <w:p w:rsidR="00000000" w:rsidDel="00000000" w:rsidP="00000000" w:rsidRDefault="00000000" w:rsidRPr="00000000" w14:paraId="00000041">
      <w:pPr>
        <w:widowControl w:val="1"/>
        <w:spacing w:after="160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360" w:lineRule="auto"/>
        <w:ind w:left="0" w:right="0" w:firstLine="709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9ed2ez143hia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СПИСОК ИНФОРМАЦИОННЫХ ИСТОЧНИКОВ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6uoflo23wyfv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Сильвер Б. BPMN – Метод и стиль / Брюс Сильвер; Пер с англ. — 2-е изд. — Астана: Zerde Publishing, 2025 — 188 c.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Каменнова М. С., Крохин В. В., Машков И. В. Моделирование бизнес процессов. В 2 ч. Часть 1 [Электронный ресурс]: Учебник и практикум для вузов. — Москва: Юрайт, 2021. — 282 с.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Моделирование бизнес-процессов [Электронный ресурс]: учебное пособие / Ю. В. Кириллина, И. А. Семичастнов. — М.: РТУ МИРЭА, 2022.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Кириллина Ю. В., Черняускас В. В., Леонов Д. А., Лентяева Т. В. Моделирование бизнес-процессов [Электронный ресурс]:рабочая тетрадь. — М.: РТУ МИРЭА, 2023.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Моделирование бизнес-процессов: учебник и практикум для академического бакалавриата / О.И. Долганова, Е.В. Виноградова, А.М. Лобанова; под ред. О.И. Долгановой — М.: Издательство Юрайт, 2020 — 289 с. — Серия: Бакалавр. Академический курс.</w:t>
      </w:r>
    </w:p>
    <w:sectPr>
      <w:footerReference r:id="rId13" w:type="default"/>
      <w:footerReference r:id="rId14" w:type="first"/>
      <w:pgSz w:h="16838" w:w="11906" w:orient="portrait"/>
      <w:pgMar w:bottom="1134" w:top="1134" w:left="1701" w:right="850" w:header="708" w:footer="708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Arial"/>
  <w:font w:name="Symbol"/>
  <w:font w:name="Liberation Serif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8">
    <w:pPr>
      <w:jc w:val="center"/>
      <w:rPr>
        <w:rFonts w:ascii="Times New Roman" w:cs="Times New Roman" w:eastAsia="Times New Roman" w:hAnsi="Times New Roman"/>
        <w:sz w:val="28"/>
        <w:szCs w:val="28"/>
      </w:rPr>
    </w:pPr>
    <w:r w:rsidDel="00000000" w:rsidR="00000000" w:rsidRPr="00000000">
      <w:rPr>
        <w:rFonts w:ascii="Times New Roman" w:cs="Times New Roman" w:eastAsia="Times New Roman" w:hAnsi="Times New Roman"/>
        <w:sz w:val="28"/>
        <w:szCs w:val="2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9">
    <w:pPr>
      <w:jc w:val="center"/>
      <w:rPr>
        <w:sz w:val="28"/>
        <w:szCs w:val="28"/>
      </w:rPr>
    </w:pPr>
    <w:r w:rsidDel="00000000" w:rsidR="00000000" w:rsidRPr="00000000">
      <w:rPr>
        <w:rFonts w:ascii="Times New Roman" w:cs="Times New Roman" w:eastAsia="Times New Roman" w:hAnsi="Times New Roman"/>
        <w:sz w:val="28"/>
        <w:szCs w:val="28"/>
        <w:rtl w:val="0"/>
      </w:rPr>
      <w:t xml:space="preserve">Москва 2025 г.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1276" w:hanging="567.0000000000001"/>
      </w:pPr>
      <w:rPr/>
    </w:lvl>
    <w:lvl w:ilvl="1">
      <w:start w:val="1"/>
      <w:numFmt w:val="lowerLetter"/>
      <w:lvlText w:val="%2."/>
      <w:lvlJc w:val="left"/>
      <w:pPr>
        <w:ind w:left="2251" w:hanging="360"/>
      </w:pPr>
      <w:rPr/>
    </w:lvl>
    <w:lvl w:ilvl="2">
      <w:start w:val="1"/>
      <w:numFmt w:val="lowerRoman"/>
      <w:lvlText w:val="%3."/>
      <w:lvlJc w:val="right"/>
      <w:pPr>
        <w:ind w:left="2971" w:hanging="180"/>
      </w:pPr>
      <w:rPr/>
    </w:lvl>
    <w:lvl w:ilvl="3">
      <w:start w:val="1"/>
      <w:numFmt w:val="decimal"/>
      <w:lvlText w:val="%4."/>
      <w:lvlJc w:val="left"/>
      <w:pPr>
        <w:ind w:left="3691" w:hanging="360"/>
      </w:pPr>
      <w:rPr/>
    </w:lvl>
    <w:lvl w:ilvl="4">
      <w:start w:val="1"/>
      <w:numFmt w:val="lowerLetter"/>
      <w:lvlText w:val="%5."/>
      <w:lvlJc w:val="left"/>
      <w:pPr>
        <w:ind w:left="4411" w:hanging="360"/>
      </w:pPr>
      <w:rPr/>
    </w:lvl>
    <w:lvl w:ilvl="5">
      <w:start w:val="1"/>
      <w:numFmt w:val="lowerRoman"/>
      <w:lvlText w:val="%6."/>
      <w:lvlJc w:val="right"/>
      <w:pPr>
        <w:ind w:left="5131" w:hanging="180"/>
      </w:pPr>
      <w:rPr/>
    </w:lvl>
    <w:lvl w:ilvl="6">
      <w:start w:val="1"/>
      <w:numFmt w:val="decimal"/>
      <w:lvlText w:val="%7."/>
      <w:lvlJc w:val="left"/>
      <w:pPr>
        <w:ind w:left="5851" w:hanging="360"/>
      </w:pPr>
      <w:rPr/>
    </w:lvl>
    <w:lvl w:ilvl="7">
      <w:start w:val="1"/>
      <w:numFmt w:val="lowerLetter"/>
      <w:lvlText w:val="%8."/>
      <w:lvlJc w:val="left"/>
      <w:pPr>
        <w:ind w:left="6571" w:hanging="360"/>
      </w:pPr>
      <w:rPr/>
    </w:lvl>
    <w:lvl w:ilvl="8">
      <w:start w:val="1"/>
      <w:numFmt w:val="lowerRoman"/>
      <w:lvlText w:val="%9."/>
      <w:lvlJc w:val="right"/>
      <w:pPr>
        <w:ind w:left="7291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iberation Serif" w:cs="Liberation Serif" w:eastAsia="Liberation Serif" w:hAnsi="Liberation Serif"/>
        <w:sz w:val="24"/>
        <w:szCs w:val="24"/>
        <w:lang w:val="ru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before="26" w:lineRule="auto"/>
      <w:ind w:left="697" w:right="238"/>
      <w:jc w:val="center"/>
    </w:pPr>
    <w:rPr>
      <w:rFonts w:ascii="Times New Roman" w:cs="Times New Roman" w:eastAsia="Times New Roman" w:hAnsi="Times New Roman"/>
      <w:b w:val="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pPr>
      <w:spacing w:after="0" w:line="240" w:lineRule="auto"/>
      <w:ind w:firstLine="567"/>
      <w:jc w:val="both"/>
    </w:pPr>
    <w:rPr>
      <w:rFonts w:ascii="Times New Roman" w:cs="Times New Roman" w:eastAsia="Times New Roman" w:hAnsi="Times New Roman"/>
      <w:sz w:val="28"/>
      <w:szCs w:val="28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7.png"/><Relationship Id="rId13" Type="http://schemas.openxmlformats.org/officeDocument/2006/relationships/footer" Target="footer1.xml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4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6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