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bookmarkStart w:colFirst="0" w:colLast="0" w:name="_b6no364dvezy" w:id="0"/>
            <w:bookmarkEnd w:id="0"/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1066800" cy="1066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before="60" w:lineRule="auto"/>
              <w:ind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after="140" w:line="216" w:lineRule="auto"/>
              <w:ind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 «Разработка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4</w:t>
      </w:r>
    </w:p>
    <w:p w:rsidR="00000000" w:rsidDel="00000000" w:rsidP="00000000" w:rsidRDefault="00000000" w:rsidRPr="00000000" w14:paraId="0000000E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Студенты группы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 Голев С.С.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Ассистент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Морозов Д.В.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«___»________2025 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kg1fmhcdql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СОДЕРЖАНИЕ</w:t>
      </w:r>
    </w:p>
    <w:sdt>
      <w:sdtPr>
        <w:id w:val="4910703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kg1fmhcdql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fldChar w:fldCharType="begin"/>
            <w:instrText xml:space="preserve"> PAGEREF _5kg1fmhcdqla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b88cz128ddz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_b88cz128ddzj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yx8xxhhjm8n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ХОД РАБОТЫ</w:t>
              <w:tab/>
            </w:r>
          </w:hyperlink>
          <w:r w:rsidDel="00000000" w:rsidR="00000000" w:rsidRPr="00000000">
            <w:fldChar w:fldCharType="begin"/>
            <w:instrText xml:space="preserve"> PAGEREF _yx8xxhhjm8nl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vi9n94kwtyf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Использование ранжирующих функций</w:t>
              <w:tab/>
            </w:r>
          </w:hyperlink>
          <w:r w:rsidDel="00000000" w:rsidR="00000000" w:rsidRPr="00000000">
            <w:fldChar w:fldCharType="begin"/>
            <w:instrText xml:space="preserve"> PAGEREF _vi9n94kwtyfv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thw8jx531qu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Использование агрегатных оконных функций</w:t>
              <w:tab/>
            </w:r>
          </w:hyperlink>
          <w:r w:rsidDel="00000000" w:rsidR="00000000" w:rsidRPr="00000000">
            <w:fldChar w:fldCharType="begin"/>
            <w:instrText xml:space="preserve"> PAGEREF _thw8jx531qu6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yxsehxhy5ai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Использование функции смещения</w:t>
              <w:tab/>
            </w:r>
          </w:hyperlink>
          <w:r w:rsidDel="00000000" w:rsidR="00000000" w:rsidRPr="00000000">
            <w:fldChar w:fldCharType="begin"/>
            <w:instrText xml:space="preserve"> PAGEREF _yxsehxhy5aij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a27odx1or67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Построение сводной таблицы</w:t>
              <w:tab/>
            </w:r>
          </w:hyperlink>
          <w:r w:rsidDel="00000000" w:rsidR="00000000" w:rsidRPr="00000000">
            <w:fldChar w:fldCharType="begin"/>
            <w:instrText xml:space="preserve"> PAGEREF _a27odx1or67l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yq9vcwtikrn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_yq9vcwtikrnm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wz08kyp8kh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88cz128ddz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Задание №1: использование ранжирующих функций.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Для каждой основной «родительской» сущности в вашей БД (например, производитель, категория товара, автор) определить три наиболее значимых по некоторому числовому признаку дочерних сущности (например, три самых дорогих товара, три самые популярные книги по количеству продаж). В результирующей таблице должны быть указаны идентификатор группы, идентификатор дочерней сущности, её числовой признак и ранг. Для расчёта ранга использовать функцию RANK() или DENSE_RANK().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Задание №2: использование агрегатных оконных функций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Для ключевой сущности, имеющей транзакции по времени (например, товар, услуга), рассчитать нарастающий итог (кумулятивную сумму) по некоторому показателю (например, объем продаж, количество заказов) с разбивкой по временным периодам (месяцам или годам). Отчёт должен содержать идентификатор сущности (id/название/…), временной период, сумму за период и кумулятивную сумму.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Задание №3: использование функции смещения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Провести сравнительный анализ общих показателей по периодам. Для каждого периода (например, месяца), начиная со второго, необходимо вывести общий показатель за текущий период и аналогичный показатель за предыдущий период в одной строке. Это позволит наглядно оценить динамику. Необходимо использовать функцию LAG().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Задание №4: построение сводной таблицы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Создать сводный отчет, который агрегирует некоторый числовой показатель для основной сущности по категориям, представленным в виде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столбцов.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qlnw89iy5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x8xxhhjm8n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4C">
      <w:pPr>
        <w:pStyle w:val="Heading2"/>
        <w:ind w:firstLine="0"/>
        <w:jc w:val="center"/>
        <w:rPr/>
      </w:pPr>
      <w:bookmarkStart w:colFirst="0" w:colLast="0" w:name="_vi9n94kwtyfv" w:id="6"/>
      <w:bookmarkEnd w:id="6"/>
      <w:r w:rsidDel="00000000" w:rsidR="00000000" w:rsidRPr="00000000">
        <w:rPr>
          <w:sz w:val="28"/>
          <w:szCs w:val="28"/>
          <w:rtl w:val="0"/>
        </w:rPr>
        <w:t xml:space="preserve">Использование ранжирующих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5038" cy="462526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038" cy="4625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Ранжирующая функция</w:t>
      </w:r>
    </w:p>
    <w:p w:rsidR="00000000" w:rsidDel="00000000" w:rsidP="00000000" w:rsidRDefault="00000000" w:rsidRPr="00000000" w14:paraId="0000004F">
      <w:pPr>
        <w:ind w:firstLine="708.6614173228347"/>
        <w:rPr/>
      </w:pPr>
      <w:r w:rsidDel="00000000" w:rsidR="00000000" w:rsidRPr="00000000">
        <w:rPr>
          <w:rtl w:val="0"/>
        </w:rPr>
        <w:t xml:space="preserve">Для каждой категории (</w:t>
      </w:r>
      <w:r w:rsidDel="00000000" w:rsidR="00000000" w:rsidRPr="00000000">
        <w:rPr>
          <w:rtl w:val="0"/>
        </w:rPr>
        <w:t xml:space="preserve">category_of_rtl</w:t>
      </w:r>
      <w:r w:rsidDel="00000000" w:rsidR="00000000" w:rsidRPr="00000000">
        <w:rPr>
          <w:rtl w:val="0"/>
        </w:rPr>
        <w:t xml:space="preserve">) определяется рейтинг товаров (</w:t>
      </w:r>
      <w:r w:rsidDel="00000000" w:rsidR="00000000" w:rsidRPr="00000000">
        <w:rPr>
          <w:rtl w:val="0"/>
        </w:rPr>
        <w:t xml:space="preserve">rtl</w:t>
      </w:r>
      <w:r w:rsidDel="00000000" w:rsidR="00000000" w:rsidRPr="00000000">
        <w:rPr>
          <w:rtl w:val="0"/>
        </w:rPr>
        <w:t xml:space="preserve">) по убыванию цены. Используется </w:t>
      </w:r>
      <w:r w:rsidDel="00000000" w:rsidR="00000000" w:rsidRPr="00000000">
        <w:rPr>
          <w:i w:val="1"/>
          <w:rtl w:val="0"/>
        </w:rPr>
        <w:t xml:space="preserve">DENSE_RANK()</w:t>
      </w:r>
      <w:r w:rsidDel="00000000" w:rsidR="00000000" w:rsidRPr="00000000">
        <w:rPr>
          <w:rtl w:val="0"/>
        </w:rPr>
        <w:t xml:space="preserve"> для учёта одинаковых цен.</w:t>
      </w:r>
    </w:p>
    <w:p w:rsidR="00000000" w:rsidDel="00000000" w:rsidP="00000000" w:rsidRDefault="00000000" w:rsidRPr="00000000" w14:paraId="00000050">
      <w:pPr>
        <w:pStyle w:val="Heading2"/>
        <w:ind w:firstLine="0"/>
        <w:jc w:val="center"/>
        <w:rPr>
          <w:sz w:val="28"/>
          <w:szCs w:val="28"/>
        </w:rPr>
      </w:pPr>
      <w:bookmarkStart w:colFirst="0" w:colLast="0" w:name="_1n2wdpbbs0v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firstLine="0"/>
        <w:jc w:val="center"/>
        <w:rPr/>
      </w:pPr>
      <w:bookmarkStart w:colFirst="0" w:colLast="0" w:name="_thw8jx531qu6" w:id="8"/>
      <w:bookmarkEnd w:id="8"/>
      <w:r w:rsidDel="00000000" w:rsidR="00000000" w:rsidRPr="00000000">
        <w:rPr>
          <w:sz w:val="28"/>
          <w:szCs w:val="28"/>
          <w:rtl w:val="0"/>
        </w:rPr>
        <w:t xml:space="preserve">Использование агрегатных оконных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8397" cy="48377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97" cy="4837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Агрегатные вычисления в окне</w:t>
      </w:r>
    </w:p>
    <w:p w:rsidR="00000000" w:rsidDel="00000000" w:rsidP="00000000" w:rsidRDefault="00000000" w:rsidRPr="00000000" w14:paraId="00000054">
      <w:pPr>
        <w:ind w:firstLine="708.6614173228347"/>
        <w:rPr/>
      </w:pPr>
      <w:r w:rsidDel="00000000" w:rsidR="00000000" w:rsidRPr="00000000">
        <w:rPr>
          <w:i w:val="1"/>
          <w:rtl w:val="0"/>
        </w:rPr>
        <w:t xml:space="preserve">SUM(...) OVER(PARTITION BY ... ORDER BY ...)</w:t>
      </w:r>
      <w:r w:rsidDel="00000000" w:rsidR="00000000" w:rsidRPr="00000000">
        <w:rPr>
          <w:rtl w:val="0"/>
        </w:rPr>
        <w:t xml:space="preserve"> вычисляет накопительный итог суммы заказов по месяцам для каждого клиента.</w:t>
      </w:r>
    </w:p>
    <w:p w:rsidR="00000000" w:rsidDel="00000000" w:rsidP="00000000" w:rsidRDefault="00000000" w:rsidRPr="00000000" w14:paraId="00000055">
      <w:pPr>
        <w:pStyle w:val="Heading2"/>
        <w:ind w:firstLine="0"/>
        <w:jc w:val="center"/>
        <w:rPr/>
      </w:pPr>
      <w:bookmarkStart w:colFirst="0" w:colLast="0" w:name="_yxsehxhy5aij" w:id="9"/>
      <w:bookmarkEnd w:id="9"/>
      <w:r w:rsidDel="00000000" w:rsidR="00000000" w:rsidRPr="00000000">
        <w:rPr>
          <w:sz w:val="28"/>
          <w:szCs w:val="28"/>
          <w:rtl w:val="0"/>
        </w:rPr>
        <w:t xml:space="preserve">Использование функции смещения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1053" cy="44928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053" cy="449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– Агрегатные вычисления в окне</w:t>
      </w:r>
    </w:p>
    <w:p w:rsidR="00000000" w:rsidDel="00000000" w:rsidP="00000000" w:rsidRDefault="00000000" w:rsidRPr="00000000" w14:paraId="00000058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i w:val="1"/>
          <w:rtl w:val="0"/>
        </w:rPr>
        <w:t xml:space="preserve">LAG()</w:t>
      </w:r>
      <w:r w:rsidDel="00000000" w:rsidR="00000000" w:rsidRPr="00000000">
        <w:rPr>
          <w:rtl w:val="0"/>
        </w:rPr>
        <w:t xml:space="preserve"> извлекает значение продаж из предыдущего месяца, чтобы показать динамику роста/спада.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firstLine="0"/>
        <w:jc w:val="center"/>
        <w:rPr>
          <w:sz w:val="28"/>
          <w:szCs w:val="28"/>
        </w:rPr>
      </w:pPr>
      <w:bookmarkStart w:colFirst="0" w:colLast="0" w:name="_a27odx1or67l" w:id="10"/>
      <w:bookmarkEnd w:id="10"/>
      <w:r w:rsidDel="00000000" w:rsidR="00000000" w:rsidRPr="00000000">
        <w:rPr>
          <w:sz w:val="28"/>
          <w:szCs w:val="28"/>
          <w:rtl w:val="0"/>
        </w:rPr>
        <w:t xml:space="preserve">Построение сводной таблицы</w:t>
      </w:r>
    </w:p>
    <w:p w:rsidR="00000000" w:rsidDel="00000000" w:rsidP="00000000" w:rsidRDefault="00000000" w:rsidRPr="00000000" w14:paraId="0000005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4478" cy="411970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478" cy="4119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– Агрегатные вычисления в окне</w:t>
      </w:r>
    </w:p>
    <w:p w:rsidR="00000000" w:rsidDel="00000000" w:rsidP="00000000" w:rsidRDefault="00000000" w:rsidRPr="00000000" w14:paraId="0000005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3088" cy="44466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088" cy="4446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– Агрегатные вычисления в окне</w:t>
      </w:r>
    </w:p>
    <w:p w:rsidR="00000000" w:rsidDel="00000000" w:rsidP="00000000" w:rsidRDefault="00000000" w:rsidRPr="00000000" w14:paraId="0000005E">
      <w:pPr>
        <w:ind w:firstLine="708.6614173228347"/>
        <w:rPr/>
      </w:pPr>
      <w:r w:rsidDel="00000000" w:rsidR="00000000" w:rsidRPr="00000000">
        <w:rPr>
          <w:i w:val="1"/>
          <w:rtl w:val="0"/>
        </w:rPr>
        <w:t xml:space="preserve">crosstab()</w:t>
      </w:r>
      <w:r w:rsidDel="00000000" w:rsidR="00000000" w:rsidRPr="00000000">
        <w:rPr>
          <w:rtl w:val="0"/>
        </w:rPr>
        <w:t xml:space="preserve"> превращает строки (кварталы) в столбцы.</w:t>
      </w:r>
    </w:p>
    <w:p w:rsidR="00000000" w:rsidDel="00000000" w:rsidP="00000000" w:rsidRDefault="00000000" w:rsidRPr="00000000" w14:paraId="0000005F">
      <w:pPr>
        <w:ind w:firstLine="708.6614173228347"/>
        <w:rPr/>
      </w:pPr>
      <w:r w:rsidDel="00000000" w:rsidR="00000000" w:rsidRPr="00000000">
        <w:rPr>
          <w:rtl w:val="0"/>
        </w:rPr>
        <w:t xml:space="preserve">Запрос-источник должен возвращать: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сотрудника;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Квартал (категорию);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(сумму заказов).</w:t>
      </w:r>
    </w:p>
    <w:p w:rsidR="00000000" w:rsidDel="00000000" w:rsidP="00000000" w:rsidRDefault="00000000" w:rsidRPr="00000000" w14:paraId="00000063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cmkhy6yecyq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q9vcwtikrn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ЗАКЛЮЧЕНИЕ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 ходе выполнения практической работы были изучены и применены оконные функции SQL, позволяющие проводить аналитические расчёты без потери детализации данных. Были освоены ранжирующие функции для определения лучших элементов внутри групп, агрегатные оконные функции для вычисления нарастающих итогов, а также функции смещения для сравнения показателей по периодам. Кроме того, было реализовано построение сводных таблиц двумя способами — с использованием условной агрегации и функции </w:t>
      </w:r>
      <w:r w:rsidDel="00000000" w:rsidR="00000000" w:rsidRPr="00000000">
        <w:rPr>
          <w:rtl w:val="0"/>
        </w:rPr>
        <w:t xml:space="preserve">crosstab</w:t>
      </w:r>
      <w:r w:rsidDel="00000000" w:rsidR="00000000" w:rsidRPr="00000000">
        <w:rPr>
          <w:rtl w:val="0"/>
        </w:rPr>
        <w:t xml:space="preserve">. Работа позволила закрепить понимание различий между стандартной группировкой </w:t>
      </w:r>
      <w:r w:rsidDel="00000000" w:rsidR="00000000" w:rsidRPr="00000000">
        <w:rPr>
          <w:i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и оконными вычислениями </w:t>
      </w:r>
      <w:r w:rsidDel="00000000" w:rsidR="00000000" w:rsidRPr="00000000">
        <w:rPr>
          <w:i w:val="1"/>
          <w:rtl w:val="0"/>
        </w:rPr>
        <w:t xml:space="preserve">OVER()</w:t>
      </w:r>
      <w:r w:rsidDel="00000000" w:rsidR="00000000" w:rsidRPr="00000000">
        <w:rPr>
          <w:rtl w:val="0"/>
        </w:rPr>
        <w:t xml:space="preserve">. Полученные навыки пригодятся при разработке аналитических запросов и формировании отчетов в реальных информационных системах.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spacing w:line="259" w:lineRule="auto"/>
      <w:ind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line="259" w:lineRule="auto"/>
      <w:ind w:firstLine="0"/>
      <w:jc w:val="center"/>
      <w:rPr/>
    </w:pPr>
    <w:r w:rsidDel="00000000" w:rsidR="00000000" w:rsidRPr="00000000">
      <w:rPr>
        <w:rtl w:val="0"/>
      </w:rPr>
      <w:t xml:space="preserve">Москва 2025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9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60" w:before="360" w:lineRule="auto"/>
      <w:ind w:firstLine="709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