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85.0" w:type="dxa"/>
        <w:jc w:val="center"/>
        <w:tblLayout w:type="fixed"/>
        <w:tblLook w:val="0400"/>
      </w:tblPr>
      <w:tblGrid>
        <w:gridCol w:w="10485"/>
        <w:tblGridChange w:id="0">
          <w:tblGrid>
            <w:gridCol w:w="10485"/>
          </w:tblGrid>
        </w:tblGridChange>
      </w:tblGrid>
      <w:tr>
        <w:trPr>
          <w:cantSplit w:val="0"/>
          <w:trHeight w:val="2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2">
            <w:pPr>
              <w:spacing w:after="0" w:line="276" w:lineRule="auto"/>
              <w:jc w:val="center"/>
              <w:rPr>
                <w:smallCaps w:val="1"/>
              </w:rPr>
            </w:pPr>
            <w:r w:rsidDel="00000000" w:rsidR="00000000" w:rsidRPr="00000000">
              <w:rPr/>
              <w:drawing>
                <wp:inline distB="0" distT="0" distL="0" distR="0">
                  <wp:extent cx="1234440" cy="139446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440" cy="139446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3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mallCaps w:val="1"/>
                <w:sz w:val="28"/>
                <w:szCs w:val="28"/>
                <w:rtl w:val="0"/>
              </w:rPr>
              <w:t xml:space="preserve">МИНОБРНАУКИ РОССИИ</w:t>
            </w:r>
          </w:p>
        </w:tc>
      </w:tr>
      <w:tr>
        <w:trPr>
          <w:cantSplit w:val="0"/>
          <w:trHeight w:val="166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4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8"/>
                <w:szCs w:val="28"/>
                <w:rtl w:val="0"/>
              </w:rPr>
              <w:t xml:space="preserve">Федеральное государственное бюджетное образовательное учреждение</w:t>
              <w:br w:type="textWrapping"/>
              <w:t xml:space="preserve">высшего образования</w:t>
              <w:br w:type="textWrapping"/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8"/>
                <w:szCs w:val="28"/>
                <w:rtl w:val="0"/>
              </w:rPr>
              <w:t xml:space="preserve">«МИРЭА – Российский технологический университет»</w:t>
            </w:r>
          </w:p>
          <w:p w:rsidR="00000000" w:rsidDel="00000000" w:rsidP="00000000" w:rsidRDefault="00000000" w:rsidRPr="00000000" w14:paraId="00000005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32"/>
                <w:szCs w:val="32"/>
                <w:rtl w:val="0"/>
              </w:rPr>
              <w:t xml:space="preserve">РТУ МИРЭА</w:t>
            </w:r>
          </w:p>
          <w:p w:rsidR="00000000" w:rsidDel="00000000" w:rsidP="00000000" w:rsidRDefault="00000000" w:rsidRPr="00000000" w14:paraId="00000006">
            <w:pPr>
              <w:spacing w:after="0" w:line="276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/>
              <mc:AlternateContent>
                <mc:Choice Requires="wpg">
                  <w:drawing>
                    <wp:inline distB="0" distT="0" distL="0" distR="0">
                      <wp:extent cx="6204100" cy="161440"/>
                      <wp:effectExtent b="0" l="0" r="0" t="0"/>
                      <wp:docPr id="1" name=""/>
                      <a:graphic>
                        <a:graphicData uri="http://schemas.microsoft.com/office/word/2010/wordprocessingShape">
                          <wps:wsp>
                            <wps:cNvSpPr/>
                            <wps:cNvPr id="2" name="Shape 2"/>
                            <wps:spPr>
                              <a:xfrm>
                                <a:off x="2301480" y="3756780"/>
                                <a:ext cx="6089040" cy="46440"/>
                              </a:xfrm>
                              <a:custGeom>
                                <a:rect b="b" l="l" r="r" t="t"/>
                                <a:pathLst>
                                  <a:path extrusionOk="0" h="21600" w="21600">
                                    <a:moveTo>
                                      <a:pt x="0" y="0"/>
                                    </a:moveTo>
                                    <a:lnTo>
                                      <a:pt x="21600" y="21600"/>
                                    </a:lnTo>
                                  </a:path>
                                </a:pathLst>
                              </a:custGeom>
                              <a:noFill/>
                              <a:ln cap="flat" cmpd="sng" w="38150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drawing>
                    <wp:inline distB="0" distT="0" distL="0" distR="0">
                      <wp:extent cx="6204100" cy="161440"/>
                      <wp:effectExtent b="0" l="0" r="0" t="0"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04100" cy="16144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widowControl w:val="0"/>
        <w:spacing w:after="0" w:before="12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Институт Информационных технологий (ИТ)</w:t>
      </w:r>
    </w:p>
    <w:p w:rsidR="00000000" w:rsidDel="00000000" w:rsidP="00000000" w:rsidRDefault="00000000" w:rsidRPr="00000000" w14:paraId="00000008">
      <w:pPr>
        <w:widowControl w:val="0"/>
        <w:spacing w:after="0" w:before="12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Математического обеспечения и стандартизации информационных технологий (МОСИТ)</w:t>
      </w:r>
    </w:p>
    <w:p w:rsidR="00000000" w:rsidDel="00000000" w:rsidP="00000000" w:rsidRDefault="00000000" w:rsidRPr="00000000" w14:paraId="00000009">
      <w:pPr>
        <w:widowControl w:val="0"/>
        <w:spacing w:after="0" w:line="276" w:lineRule="auto"/>
        <w:ind w:right="-6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74.0" w:type="dxa"/>
        <w:jc w:val="left"/>
        <w:tblInd w:w="108.0" w:type="dxa"/>
        <w:tblLayout w:type="fixed"/>
        <w:tblLook w:val="0400"/>
      </w:tblPr>
      <w:tblGrid>
        <w:gridCol w:w="9074"/>
        <w:tblGridChange w:id="0">
          <w:tblGrid>
            <w:gridCol w:w="907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C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ОТЧЕТ ПО ПРАКТИЧЕСКОЙ РАБОТЕ  №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D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по дисциплине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«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u w:val="single"/>
                <w:rtl w:val="0"/>
              </w:rPr>
              <w:t xml:space="preserve">Тестирование и верификация программного обеспечения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»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Тема: «МОДУЛЬНОЕ И МУТАЦИОННОЕ ТЕСТИРОВАНИЕ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ПРОГРАММНОГО ПРОДУКТА»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widowControl w:val="0"/>
        <w:spacing w:after="0" w:line="276" w:lineRule="auto"/>
        <w:jc w:val="lef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after="0" w:line="276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4.0" w:type="dxa"/>
        <w:jc w:val="left"/>
        <w:tblInd w:w="108.0" w:type="dxa"/>
        <w:tblLayout w:type="fixed"/>
        <w:tblLook w:val="0400"/>
      </w:tblPr>
      <w:tblGrid>
        <w:gridCol w:w="5859"/>
        <w:gridCol w:w="3215"/>
        <w:tblGridChange w:id="0">
          <w:tblGrid>
            <w:gridCol w:w="5859"/>
            <w:gridCol w:w="32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Выполнил студент группы ИКБО-42-23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8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shd w:fill="ffffff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shd w:fill="ffffff" w:val="clear"/>
              <w:spacing w:after="0" w:line="240" w:lineRule="auto"/>
              <w:ind w:right="-57"/>
              <w:rPr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_Голев С.С_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Принял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color w:val="ff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hd w:fill="ffffff" w:val="clear"/>
              <w:spacing w:after="0" w:line="240" w:lineRule="auto"/>
              <w:rPr>
                <w:u w:val="singl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u w:val="single"/>
                <w:rtl w:val="0"/>
              </w:rPr>
              <w:t xml:space="preserve">Чернов Е.А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widowControl w:val="0"/>
        <w:spacing w:after="0" w:line="276" w:lineRule="auto"/>
        <w:jc w:val="both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55.0" w:type="dxa"/>
        <w:jc w:val="left"/>
        <w:tblInd w:w="108.0" w:type="dxa"/>
        <w:tblLayout w:type="fixed"/>
        <w:tblLook w:val="0400"/>
      </w:tblPr>
      <w:tblGrid>
        <w:gridCol w:w="3417"/>
        <w:gridCol w:w="3327"/>
        <w:gridCol w:w="2611"/>
        <w:tblGridChange w:id="0">
          <w:tblGrid>
            <w:gridCol w:w="3417"/>
            <w:gridCol w:w="3327"/>
            <w:gridCol w:w="2611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Практическая  работа выполнена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0" w:line="240" w:lineRule="auto"/>
              <w:jc w:val="center"/>
              <w:rPr/>
            </w:pPr>
            <w:bookmarkStart w:colFirst="0" w:colLast="0" w:name="_rvg37ojb43a5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2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(подпись студента)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4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5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6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«Зачтено»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«__»_______2025 г.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B">
            <w:pPr>
              <w:widowControl w:val="0"/>
              <w:spacing w:after="0" w:line="240" w:lineRule="auto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after="0" w:line="240" w:lineRule="auto"/>
              <w:jc w:val="center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 (подпись руководителя)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D">
      <w:pPr>
        <w:widowControl w:val="0"/>
        <w:shd w:fill="ffffff" w:val="clear"/>
        <w:spacing w:after="0" w:line="24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276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gngiw2vbon88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СОДЕРЖАНИЕ</w:t>
      </w:r>
    </w:p>
    <w:sdt>
      <w:sdtPr>
        <w:id w:val="494352365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odlzene6e60z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ЦЕЛЬ И ЗАДАЧИ РАБОТЫ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4536gefhozr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ПРАКТИЧЕСКАЯ ЧАСТЬ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12000"/>
            </w:tabs>
            <w:spacing w:after="0" w:before="60" w:line="360" w:lineRule="auto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hyperlink w:anchor="_ht182snp2sbs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ЗАКЛЮЧЕНИЕ</w:t>
              <w:tab/>
              <w:t xml:space="preserve">12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3hdgmtnmgxvc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odlzene6e60z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ЦЕЛЬ И ЗАДАЧИ РАБОТЫ</w:t>
      </w:r>
    </w:p>
    <w:p w:rsidR="00000000" w:rsidDel="00000000" w:rsidP="00000000" w:rsidRDefault="00000000" w:rsidRPr="00000000" w14:paraId="00000036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 работы: познакомить студентов с процессом модульного и мутационного тестирования, включая разработку, проведение тестов, исправление ошибок, анализ тестового покрытия, а также оценку эффективности тестов путем применения методов мутационного тестирования.</w:t>
      </w:r>
    </w:p>
    <w:p w:rsidR="00000000" w:rsidDel="00000000" w:rsidP="00000000" w:rsidRDefault="00000000" w:rsidRPr="00000000" w14:paraId="00000037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достижения поставленной цели работы студентам необходимо выполнить ряд задач:</w:t>
      </w:r>
    </w:p>
    <w:p w:rsidR="00000000" w:rsidDel="00000000" w:rsidP="00000000" w:rsidRDefault="00000000" w:rsidRPr="00000000" w14:paraId="00000038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изучить основы модульного тестирования и его основные принципы;</w:t>
      </w:r>
    </w:p>
    <w:p w:rsidR="00000000" w:rsidDel="00000000" w:rsidP="00000000" w:rsidRDefault="00000000" w:rsidRPr="00000000" w14:paraId="00000039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освоить использование инструментов для модульного тестирования (pytest для Python, JUnit для Java и др.);</w:t>
      </w:r>
    </w:p>
    <w:p w:rsidR="00000000" w:rsidDel="00000000" w:rsidP="00000000" w:rsidRDefault="00000000" w:rsidRPr="00000000" w14:paraId="0000003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разработать модульные тесты для программного продукта и проанализировать их покрытие кода;</w:t>
      </w:r>
    </w:p>
    <w:p w:rsidR="00000000" w:rsidDel="00000000" w:rsidP="00000000" w:rsidRDefault="00000000" w:rsidRPr="00000000" w14:paraId="0000003B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изучить основы мутационного тестирования и освоить инструменты для его выполнения (MutPy, PIT, Stryker);</w:t>
      </w:r>
    </w:p>
    <w:p w:rsidR="00000000" w:rsidDel="00000000" w:rsidP="00000000" w:rsidRDefault="00000000" w:rsidRPr="00000000" w14:paraId="0000003C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применить мутационное тестирование к программному продукту, оценить эффективность тестов;</w:t>
      </w:r>
    </w:p>
    <w:p w:rsidR="00000000" w:rsidDel="00000000" w:rsidP="00000000" w:rsidRDefault="00000000" w:rsidRPr="00000000" w14:paraId="0000003D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улучшить существующий набор тестов, ориентируясь на результаты мутационного тестирования;</w:t>
      </w:r>
    </w:p>
    <w:p w:rsidR="00000000" w:rsidDel="00000000" w:rsidP="00000000" w:rsidRDefault="00000000" w:rsidRPr="00000000" w14:paraId="0000003E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Gungsuh" w:cs="Gungsuh" w:eastAsia="Gungsuh" w:hAnsi="Gungsuh"/>
          <w:sz w:val="28"/>
          <w:szCs w:val="28"/>
          <w:rtl w:val="0"/>
        </w:rPr>
        <w:t xml:space="preserve">− оформить итоговый отчёт с результатами проделанной работы.</w:t>
      </w:r>
    </w:p>
    <w:p w:rsidR="00000000" w:rsidDel="00000000" w:rsidP="00000000" w:rsidRDefault="00000000" w:rsidRPr="00000000" w14:paraId="0000003F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Состав команды: Голев С.С., Кульпин Е.А., Матяшов В.В., Петров В.Ю.</w:t>
      </w:r>
    </w:p>
    <w:p w:rsidR="00000000" w:rsidDel="00000000" w:rsidP="00000000" w:rsidRDefault="00000000" w:rsidRPr="00000000" w14:paraId="00000040">
      <w:pPr>
        <w:pStyle w:val="Heading1"/>
        <w:spacing w:line="360" w:lineRule="auto"/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6eizzy2vh0qu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spacing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1dxb4xkgzlif" w:id="5"/>
      <w:bookmarkEnd w:id="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4536gefhozr7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43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Распишем модули и приведем их исходный код.</w:t>
      </w:r>
    </w:p>
    <w:p w:rsidR="00000000" w:rsidDel="00000000" w:rsidP="00000000" w:rsidRDefault="00000000" w:rsidRPr="00000000" w14:paraId="00000044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validate_email(email)</w:t>
      </w:r>
    </w:p>
    <w:tbl>
      <w:tblPr>
        <w:tblStyle w:val="Table5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validate_email(email):</w:t>
            </w:r>
          </w:p>
          <w:p w:rsidR="00000000" w:rsidDel="00000000" w:rsidP="00000000" w:rsidRDefault="00000000" w:rsidRPr="00000000" w14:paraId="0000004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type(email) != str:</w:t>
            </w:r>
          </w:p>
          <w:p w:rsidR="00000000" w:rsidDel="00000000" w:rsidP="00000000" w:rsidRDefault="00000000" w:rsidRPr="00000000" w14:paraId="0000004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TypeError('String value expected')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'@' in email and '.' in email.split('@')[-1]</w:t>
            </w:r>
          </w:p>
        </w:tc>
      </w:tr>
    </w:tbl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является 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строкой.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 наличие символа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хотя бы одной точки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после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@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email корректный,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если нет.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тип не строка — возвращает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D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get_range(lst)</w:t>
      </w:r>
    </w:p>
    <w:tbl>
      <w:tblPr>
        <w:tblStyle w:val="Table6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get_range(lst):</w:t>
            </w:r>
          </w:p>
          <w:p w:rsidR="00000000" w:rsidDel="00000000" w:rsidP="00000000" w:rsidRDefault="00000000" w:rsidRPr="00000000" w14:paraId="0000004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type(lst) not in [list, tuple, set]:</w:t>
            </w:r>
          </w:p>
          <w:p w:rsidR="00000000" w:rsidDel="00000000" w:rsidP="00000000" w:rsidRDefault="00000000" w:rsidRPr="00000000" w14:paraId="0000005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TypeError('List value expected')</w:t>
            </w:r>
          </w:p>
          <w:p w:rsidR="00000000" w:rsidDel="00000000" w:rsidP="00000000" w:rsidRDefault="00000000" w:rsidRPr="00000000" w14:paraId="0000005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lst:</w:t>
            </w:r>
          </w:p>
          <w:p w:rsidR="00000000" w:rsidDel="00000000" w:rsidP="00000000" w:rsidRDefault="00000000" w:rsidRPr="00000000" w14:paraId="0000005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type(i) != int:</w:t>
            </w:r>
          </w:p>
          <w:p w:rsidR="00000000" w:rsidDel="00000000" w:rsidP="00000000" w:rsidRDefault="00000000" w:rsidRPr="00000000" w14:paraId="0000005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TypeError('List must consist from integer values expected')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min(lst), max(lst)</w:t>
            </w:r>
          </w:p>
        </w:tc>
      </w:tr>
    </w:tbl>
    <w:p w:rsidR="00000000" w:rsidDel="00000000" w:rsidP="00000000" w:rsidRDefault="00000000" w:rsidRPr="00000000" w14:paraId="00000055">
      <w:pPr>
        <w:numPr>
          <w:ilvl w:val="0"/>
          <w:numId w:val="6"/>
        </w:numPr>
        <w:spacing w:after="0" w:afterAutospacing="0" w:befor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является 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списком, кортежем или множеством.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spacing w:after="0" w:afterAutospacing="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все элементы — целые числа.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6"/>
        </w:numPr>
        <w:spacing w:after="0" w:afterAutospacing="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кортеж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(min(lst), max(lst))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spacing w:after="24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Если типы некорректны — возвращает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59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only_even(lst)</w:t>
      </w:r>
    </w:p>
    <w:tbl>
      <w:tblPr>
        <w:tblStyle w:val="Table7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only_even(lst):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type(lst) not in [list, tuple, set]:</w:t>
            </w:r>
          </w:p>
          <w:p w:rsidR="00000000" w:rsidDel="00000000" w:rsidP="00000000" w:rsidRDefault="00000000" w:rsidRPr="00000000" w14:paraId="0000005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TypeError('List value expected')</w:t>
            </w:r>
          </w:p>
          <w:p w:rsidR="00000000" w:rsidDel="00000000" w:rsidP="00000000" w:rsidRDefault="00000000" w:rsidRPr="00000000" w14:paraId="0000005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lst:</w:t>
            </w:r>
          </w:p>
          <w:p w:rsidR="00000000" w:rsidDel="00000000" w:rsidP="00000000" w:rsidRDefault="00000000" w:rsidRPr="00000000" w14:paraId="0000005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type(i) != int:</w:t>
            </w:r>
          </w:p>
          <w:p w:rsidR="00000000" w:rsidDel="00000000" w:rsidP="00000000" w:rsidRDefault="00000000" w:rsidRPr="00000000" w14:paraId="0000006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TypeError('List must consist from integer values expected')</w:t>
            </w:r>
          </w:p>
          <w:p w:rsidR="00000000" w:rsidDel="00000000" w:rsidP="00000000" w:rsidRDefault="00000000" w:rsidRPr="00000000" w14:paraId="0000006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lst:</w:t>
            </w:r>
          </w:p>
          <w:p w:rsidR="00000000" w:rsidDel="00000000" w:rsidP="00000000" w:rsidRDefault="00000000" w:rsidRPr="00000000" w14:paraId="0000006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i % 2 != 0:</w:t>
            </w:r>
          </w:p>
          <w:p w:rsidR="00000000" w:rsidDel="00000000" w:rsidP="00000000" w:rsidRDefault="00000000" w:rsidRPr="00000000" w14:paraId="0000006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False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True</w:t>
            </w:r>
          </w:p>
        </w:tc>
      </w:tr>
    </w:tbl>
    <w:p w:rsidR="00000000" w:rsidDel="00000000" w:rsidP="00000000" w:rsidRDefault="00000000" w:rsidRPr="00000000" w14:paraId="00000065">
      <w:pPr>
        <w:numPr>
          <w:ilvl w:val="0"/>
          <w:numId w:val="5"/>
        </w:numPr>
        <w:spacing w:after="0" w:afterAutospacing="0" w:befor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lst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список/кортеж/множество и состоит из целых чисел.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5"/>
        </w:numPr>
        <w:spacing w:after="0" w:afterAutospacing="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если все числа четные, иначе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24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некорректном типе элементов или списка — возвращает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68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vector_multiplier(vec1, vec2)</w:t>
      </w:r>
    </w:p>
    <w:tbl>
      <w:tblPr>
        <w:tblStyle w:val="Table8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vector_multiplier(vec1, vec2):</w:t>
            </w:r>
          </w:p>
          <w:p w:rsidR="00000000" w:rsidDel="00000000" w:rsidP="00000000" w:rsidRDefault="00000000" w:rsidRPr="00000000" w14:paraId="0000006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len(vec1) != len(vec2):</w:t>
            </w:r>
          </w:p>
          <w:p w:rsidR="00000000" w:rsidDel="00000000" w:rsidP="00000000" w:rsidRDefault="00000000" w:rsidRPr="00000000" w14:paraId="0000006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ValueError('Vectors length must be equal')</w:t>
            </w:r>
          </w:p>
          <w:p w:rsidR="00000000" w:rsidDel="00000000" w:rsidP="00000000" w:rsidRDefault="00000000" w:rsidRPr="00000000" w14:paraId="0000006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type(vec1) not in [list, tuple, set] or type(vec2) not in [list, tuple, set]:</w:t>
            </w:r>
          </w:p>
          <w:p w:rsidR="00000000" w:rsidDel="00000000" w:rsidP="00000000" w:rsidRDefault="00000000" w:rsidRPr="00000000" w14:paraId="0000006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TypeError('List value expected')</w:t>
            </w:r>
          </w:p>
          <w:p w:rsidR="00000000" w:rsidDel="00000000" w:rsidP="00000000" w:rsidRDefault="00000000" w:rsidRPr="00000000" w14:paraId="0000006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vec1:</w:t>
            </w:r>
          </w:p>
          <w:p w:rsidR="00000000" w:rsidDel="00000000" w:rsidP="00000000" w:rsidRDefault="00000000" w:rsidRPr="00000000" w14:paraId="0000006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type(i) != int:</w:t>
            </w:r>
          </w:p>
          <w:p w:rsidR="00000000" w:rsidDel="00000000" w:rsidP="00000000" w:rsidRDefault="00000000" w:rsidRPr="00000000" w14:paraId="0000007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TypeError('List must consist from integer values expected')</w:t>
            </w:r>
          </w:p>
          <w:p w:rsidR="00000000" w:rsidDel="00000000" w:rsidP="00000000" w:rsidRDefault="00000000" w:rsidRPr="00000000" w14:paraId="0000007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vec2:</w:t>
            </w:r>
          </w:p>
          <w:p w:rsidR="00000000" w:rsidDel="00000000" w:rsidP="00000000" w:rsidRDefault="00000000" w:rsidRPr="00000000" w14:paraId="0000007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type(i) != int:</w:t>
            </w:r>
          </w:p>
          <w:p w:rsidR="00000000" w:rsidDel="00000000" w:rsidP="00000000" w:rsidRDefault="00000000" w:rsidRPr="00000000" w14:paraId="0000007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TypeError('List must consist from integer values expected')</w:t>
            </w:r>
          </w:p>
          <w:p w:rsidR="00000000" w:rsidDel="00000000" w:rsidP="00000000" w:rsidRDefault="00000000" w:rsidRPr="00000000" w14:paraId="0000007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[(vec1[i] * vec2[i]) for i in range(len(vec1))]</w:t>
            </w:r>
          </w:p>
        </w:tc>
      </w:tr>
    </w:tbl>
    <w:p w:rsidR="00000000" w:rsidDel="00000000" w:rsidP="00000000" w:rsidRDefault="00000000" w:rsidRPr="00000000" w14:paraId="00000076">
      <w:pPr>
        <w:numPr>
          <w:ilvl w:val="0"/>
          <w:numId w:val="9"/>
        </w:numPr>
        <w:spacing w:after="0" w:afterAutospacing="0" w:befor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одного типа: список/кортеж/множество и одинаковой длины.</w:t>
        <w:br w:type="textWrapping"/>
      </w:r>
    </w:p>
    <w:p w:rsidR="00000000" w:rsidDel="00000000" w:rsidP="00000000" w:rsidRDefault="00000000" w:rsidRPr="00000000" w14:paraId="00000077">
      <w:pPr>
        <w:numPr>
          <w:ilvl w:val="0"/>
          <w:numId w:val="9"/>
        </w:numPr>
        <w:spacing w:after="0" w:afterAutospacing="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все элементы — целые числа.</w:t>
        <w:br w:type="textWrapping"/>
      </w:r>
    </w:p>
    <w:p w:rsidR="00000000" w:rsidDel="00000000" w:rsidP="00000000" w:rsidRDefault="00000000" w:rsidRPr="00000000" w14:paraId="00000078">
      <w:pPr>
        <w:numPr>
          <w:ilvl w:val="0"/>
          <w:numId w:val="9"/>
        </w:numPr>
        <w:spacing w:after="0" w:afterAutospacing="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список произведений элементов с одинаковыми индексами.</w:t>
        <w:br w:type="textWrapping"/>
      </w:r>
    </w:p>
    <w:p w:rsidR="00000000" w:rsidDel="00000000" w:rsidP="00000000" w:rsidRDefault="00000000" w:rsidRPr="00000000" w14:paraId="00000079">
      <w:pPr>
        <w:numPr>
          <w:ilvl w:val="0"/>
          <w:numId w:val="9"/>
        </w:numPr>
        <w:spacing w:after="24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несоответствии типов или длины — возвращает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7A">
      <w:pPr>
        <w:ind w:left="0"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upper_case(string)</w:t>
      </w:r>
    </w:p>
    <w:tbl>
      <w:tblPr>
        <w:tblStyle w:val="Table9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upper_case(string):</w:t>
            </w:r>
          </w:p>
          <w:p w:rsidR="00000000" w:rsidDel="00000000" w:rsidP="00000000" w:rsidRDefault="00000000" w:rsidRPr="00000000" w14:paraId="0000007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type(string) != str:</w:t>
            </w:r>
          </w:p>
          <w:p w:rsidR="00000000" w:rsidDel="00000000" w:rsidP="00000000" w:rsidRDefault="00000000" w:rsidRPr="00000000" w14:paraId="0000007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TypeError('String value expected')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string.upper()</w:t>
            </w:r>
          </w:p>
        </w:tc>
      </w:tr>
    </w:tbl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24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Проверяет, что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string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строка.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Возвращает строку в верхнем регистре.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240" w:before="0" w:beforeAutospacing="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некорректном типе — возвращает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2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Проведём модульное тестирование, дабы убедиться в корректной работе функций.</w:t>
      </w:r>
    </w:p>
    <w:p w:rsidR="00000000" w:rsidDel="00000000" w:rsidP="00000000" w:rsidRDefault="00000000" w:rsidRPr="00000000" w14:paraId="00000083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test_validate_email()</w:t>
      </w:r>
    </w:p>
    <w:tbl>
      <w:tblPr>
        <w:tblStyle w:val="Table10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test_validate_email():</w:t>
            </w:r>
          </w:p>
          <w:p w:rsidR="00000000" w:rsidDel="00000000" w:rsidP="00000000" w:rsidRDefault="00000000" w:rsidRPr="00000000" w14:paraId="0000008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validate_email("test@example.com") == True</w:t>
            </w:r>
          </w:p>
          <w:p w:rsidR="00000000" w:rsidDel="00000000" w:rsidP="00000000" w:rsidRDefault="00000000" w:rsidRPr="00000000" w14:paraId="0000008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validate_email("a@b.c") == True</w:t>
            </w:r>
          </w:p>
          <w:p w:rsidR="00000000" w:rsidDel="00000000" w:rsidP="00000000" w:rsidRDefault="00000000" w:rsidRPr="00000000" w14:paraId="0000008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validate_email("invalid.email") == False</w:t>
            </w:r>
          </w:p>
          <w:p w:rsidR="00000000" w:rsidDel="00000000" w:rsidP="00000000" w:rsidRDefault="00000000" w:rsidRPr="00000000" w14:paraId="0000008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validate_email("user@") == False</w:t>
            </w:r>
          </w:p>
          <w:p w:rsidR="00000000" w:rsidDel="00000000" w:rsidP="00000000" w:rsidRDefault="00000000" w:rsidRPr="00000000" w14:paraId="0000008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validate_email("@domain.com") == False</w:t>
            </w:r>
          </w:p>
          <w:p w:rsidR="00000000" w:rsidDel="00000000" w:rsidP="00000000" w:rsidRDefault="00000000" w:rsidRPr="00000000" w14:paraId="0000008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validate_email("") == False</w:t>
            </w:r>
          </w:p>
          <w:p w:rsidR="00000000" w:rsidDel="00000000" w:rsidP="00000000" w:rsidRDefault="00000000" w:rsidRPr="00000000" w14:paraId="0000008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isinstance(validate_email(123), TypeError)</w:t>
            </w:r>
          </w:p>
        </w:tc>
      </w:tr>
    </w:tbl>
    <w:p w:rsidR="00000000" w:rsidDel="00000000" w:rsidP="00000000" w:rsidRDefault="00000000" w:rsidRPr="00000000" w14:paraId="0000008D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функцию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validate_email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E">
      <w:pPr>
        <w:numPr>
          <w:ilvl w:val="0"/>
          <w:numId w:val="10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Сначала проводится позитивное тестирование: проверяются корректные email, такие как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"test@example.com"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"a@b.c"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ожидается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Далее — негативное тестирование: проверяются некорректные email, например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"invalid.email"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"user@"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"@domain.com"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пустая строка, ожидается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0">
      <w:pPr>
        <w:numPr>
          <w:ilvl w:val="0"/>
          <w:numId w:val="10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Наконец, проверяется тестирование типизации входных данных: если передан не строковый тип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), функция должна вернуть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1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Методология: комбинация позитивного и негативного тестирования с проверкой обработки некорректного типа аргумента.</w:t>
      </w:r>
    </w:p>
    <w:p w:rsidR="00000000" w:rsidDel="00000000" w:rsidP="00000000" w:rsidRDefault="00000000" w:rsidRPr="00000000" w14:paraId="00000092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test_get_range()</w:t>
      </w:r>
    </w:p>
    <w:tbl>
      <w:tblPr>
        <w:tblStyle w:val="Table11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test_get_range():</w:t>
            </w:r>
          </w:p>
          <w:p w:rsidR="00000000" w:rsidDel="00000000" w:rsidP="00000000" w:rsidRDefault="00000000" w:rsidRPr="00000000" w14:paraId="0000009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get_range([1, 2, 3, 4, 5]) == (1, 5)</w:t>
            </w:r>
          </w:p>
          <w:p w:rsidR="00000000" w:rsidDel="00000000" w:rsidP="00000000" w:rsidRDefault="00000000" w:rsidRPr="00000000" w14:paraId="0000009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get_range([-5, 0, 5]) == (-5, 5)</w:t>
            </w:r>
          </w:p>
          <w:p w:rsidR="00000000" w:rsidDel="00000000" w:rsidP="00000000" w:rsidRDefault="00000000" w:rsidRPr="00000000" w14:paraId="0000009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get_range([10]) == (10, 10)</w:t>
            </w:r>
          </w:p>
          <w:p w:rsidR="00000000" w:rsidDel="00000000" w:rsidP="00000000" w:rsidRDefault="00000000" w:rsidRPr="00000000" w14:paraId="0000009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get_range((1, 3, 2)) == (1, 3)</w:t>
            </w:r>
          </w:p>
          <w:p w:rsidR="00000000" w:rsidDel="00000000" w:rsidP="00000000" w:rsidRDefault="00000000" w:rsidRPr="00000000" w14:paraId="0000009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get_range({4, 2, 6}) == (2, 6)</w:t>
            </w:r>
          </w:p>
          <w:p w:rsidR="00000000" w:rsidDel="00000000" w:rsidP="00000000" w:rsidRDefault="00000000" w:rsidRPr="00000000" w14:paraId="0000009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isinstance(get_range("string"), TypeError)</w:t>
            </w:r>
          </w:p>
          <w:p w:rsidR="00000000" w:rsidDel="00000000" w:rsidP="00000000" w:rsidRDefault="00000000" w:rsidRPr="00000000" w14:paraId="0000009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isinstance(get_range([1, 2, "3"]), TypeError)</w:t>
            </w:r>
          </w:p>
        </w:tc>
      </w:tr>
    </w:tbl>
    <w:p w:rsidR="00000000" w:rsidDel="00000000" w:rsidP="00000000" w:rsidRDefault="00000000" w:rsidRPr="00000000" w14:paraId="0000009D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функцию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get_range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E">
      <w:pPr>
        <w:numPr>
          <w:ilvl w:val="0"/>
          <w:numId w:val="3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Проводится позитивное тестирование с корректными коллекциями: список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[1,2,3,4,5]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кортеж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(1,3,2)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множество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{4,2,6}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Проверяется, что функция возвращает правильный диапазон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(min, max)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F">
      <w:pPr>
        <w:numPr>
          <w:ilvl w:val="0"/>
          <w:numId w:val="3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смешанных значений, таких как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[-5,0,5]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 одиночного элемента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[10]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применяется граничное тестирование, чтобы убедиться, что функция корректно обрабатывает отрицательные числа и минимальные размеры коллекций.</w:t>
      </w:r>
    </w:p>
    <w:p w:rsidR="00000000" w:rsidDel="00000000" w:rsidP="00000000" w:rsidRDefault="00000000" w:rsidRPr="00000000" w14:paraId="000000A0">
      <w:pPr>
        <w:numPr>
          <w:ilvl w:val="0"/>
          <w:numId w:val="3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некорректного типа входных данных, например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"string"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применяется тестирование типизации — ожидается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  <w:br w:type="textWrapping"/>
        <w:t xml:space="preserve">Для коллекций с неверными элементами, например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[1,2,"3"]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используется негативное тестирование, проверяющее, что функция возвращает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A1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Методология: сочетание позитивного, негативного и граничного тестирования, с проверкой типов.</w:t>
      </w:r>
    </w:p>
    <w:p w:rsidR="00000000" w:rsidDel="00000000" w:rsidP="00000000" w:rsidRDefault="00000000" w:rsidRPr="00000000" w14:paraId="000000A2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test_only_even()</w:t>
      </w:r>
    </w:p>
    <w:tbl>
      <w:tblPr>
        <w:tblStyle w:val="Table12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test_only_even():</w:t>
            </w:r>
          </w:p>
          <w:p w:rsidR="00000000" w:rsidDel="00000000" w:rsidP="00000000" w:rsidRDefault="00000000" w:rsidRPr="00000000" w14:paraId="000000A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# Тест только четных чисел</w:t>
            </w:r>
          </w:p>
          <w:p w:rsidR="00000000" w:rsidDel="00000000" w:rsidP="00000000" w:rsidRDefault="00000000" w:rsidRPr="00000000" w14:paraId="000000A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only_even([2, 4, 6, 8]) == True</w:t>
            </w:r>
          </w:p>
          <w:p w:rsidR="00000000" w:rsidDel="00000000" w:rsidP="00000000" w:rsidRDefault="00000000" w:rsidRPr="00000000" w14:paraId="000000A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only_even([0, 2, 4]) == True</w:t>
            </w:r>
          </w:p>
          <w:p w:rsidR="00000000" w:rsidDel="00000000" w:rsidP="00000000" w:rsidRDefault="00000000" w:rsidRPr="00000000" w14:paraId="000000A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only_even([-2, -4, 0]) == True</w:t>
            </w:r>
          </w:p>
          <w:p w:rsidR="00000000" w:rsidDel="00000000" w:rsidP="00000000" w:rsidRDefault="00000000" w:rsidRPr="00000000" w14:paraId="000000A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only_even([1, 2, 3]) == False</w:t>
            </w:r>
          </w:p>
          <w:p w:rsidR="00000000" w:rsidDel="00000000" w:rsidP="00000000" w:rsidRDefault="00000000" w:rsidRPr="00000000" w14:paraId="000000A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only_even([2, 4, 5]) == False</w:t>
            </w:r>
          </w:p>
          <w:p w:rsidR="00000000" w:rsidDel="00000000" w:rsidP="00000000" w:rsidRDefault="00000000" w:rsidRPr="00000000" w14:paraId="000000A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only_even([1]) == False</w:t>
            </w:r>
          </w:p>
          <w:p w:rsidR="00000000" w:rsidDel="00000000" w:rsidP="00000000" w:rsidRDefault="00000000" w:rsidRPr="00000000" w14:paraId="000000A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only_even((2, 4, 6)) == True  # tuple</w:t>
            </w:r>
          </w:p>
          <w:p w:rsidR="00000000" w:rsidDel="00000000" w:rsidP="00000000" w:rsidRDefault="00000000" w:rsidRPr="00000000" w14:paraId="000000A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only_even({2, 4, 8}) == True  # set</w:t>
            </w:r>
          </w:p>
          <w:p w:rsidR="00000000" w:rsidDel="00000000" w:rsidP="00000000" w:rsidRDefault="00000000" w:rsidRPr="00000000" w14:paraId="000000A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isinstance(only_even("string"), TypeError)</w:t>
            </w:r>
          </w:p>
          <w:p w:rsidR="00000000" w:rsidDel="00000000" w:rsidP="00000000" w:rsidRDefault="00000000" w:rsidRPr="00000000" w14:paraId="000000B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isinstance(only_even([1, "2"]), TypeError)</w:t>
            </w:r>
          </w:p>
        </w:tc>
      </w:tr>
    </w:tbl>
    <w:p w:rsidR="00000000" w:rsidDel="00000000" w:rsidP="00000000" w:rsidRDefault="00000000" w:rsidRPr="00000000" w14:paraId="000000B1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функцию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only_even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2">
      <w:pPr>
        <w:numPr>
          <w:ilvl w:val="0"/>
          <w:numId w:val="2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Проводится позитивное тестирование: списки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[2,4,6,8]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кортежи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(2,4,6)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множества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{2,4,8}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должны возвращать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True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так как все элементы четные.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Негативное тестирование проверяет случаи, когда есть нечетные числа: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[1,2,3]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[2,4,5]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должны возвращать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False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4">
      <w:pPr>
        <w:numPr>
          <w:ilvl w:val="0"/>
          <w:numId w:val="2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типизации входных данных проверяет, что при передаче строки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"string"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или коллекции с некорректными элементами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[1,"2"]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возвращается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B5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Методология: позитивное и негативное тестирование с контролем типов и поддержки разных типов коллекций.</w:t>
      </w:r>
    </w:p>
    <w:p w:rsidR="00000000" w:rsidDel="00000000" w:rsidP="00000000" w:rsidRDefault="00000000" w:rsidRPr="00000000" w14:paraId="000000B6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test_vector_multiplier()</w:t>
      </w:r>
    </w:p>
    <w:tbl>
      <w:tblPr>
        <w:tblStyle w:val="Table13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test_vector_multiplier():</w:t>
            </w:r>
          </w:p>
          <w:p w:rsidR="00000000" w:rsidDel="00000000" w:rsidP="00000000" w:rsidRDefault="00000000" w:rsidRPr="00000000" w14:paraId="000000B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vector_multiplier([1, 2, 3], [4, 5, 6]) == [4, 10, 18]</w:t>
            </w:r>
          </w:p>
          <w:p w:rsidR="00000000" w:rsidDel="00000000" w:rsidP="00000000" w:rsidRDefault="00000000" w:rsidRPr="00000000" w14:paraId="000000B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vector_multiplier([0, 1], [2, 3]) == [0, 3]</w:t>
            </w:r>
          </w:p>
          <w:p w:rsidR="00000000" w:rsidDel="00000000" w:rsidP="00000000" w:rsidRDefault="00000000" w:rsidRPr="00000000" w14:paraId="000000B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vector_multiplier([-1, 2], [3, -4]) == [-3, -8]</w:t>
            </w:r>
          </w:p>
          <w:p w:rsidR="00000000" w:rsidDel="00000000" w:rsidP="00000000" w:rsidRDefault="00000000" w:rsidRPr="00000000" w14:paraId="000000B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vector_multiplier((1, 2), (3, 4)) == [3, 8]</w:t>
            </w:r>
          </w:p>
          <w:p w:rsidR="00000000" w:rsidDel="00000000" w:rsidP="00000000" w:rsidRDefault="00000000" w:rsidRPr="00000000" w14:paraId="000000B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isinstance(vector_multiplier([1, 2], [1, 2, 3]), ValueError)</w:t>
            </w:r>
          </w:p>
          <w:p w:rsidR="00000000" w:rsidDel="00000000" w:rsidP="00000000" w:rsidRDefault="00000000" w:rsidRPr="00000000" w14:paraId="000000B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isinstance(vector_multiplier("string", [1, 2]), TypeError)</w:t>
            </w:r>
          </w:p>
          <w:p w:rsidR="00000000" w:rsidDel="00000000" w:rsidP="00000000" w:rsidRDefault="00000000" w:rsidRPr="00000000" w14:paraId="000000C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isinstance(vector_multiplier([1, "2"], [1, 2]), TypeError)</w:t>
            </w:r>
          </w:p>
          <w:p w:rsidR="00000000" w:rsidDel="00000000" w:rsidP="00000000" w:rsidRDefault="00000000" w:rsidRPr="00000000" w14:paraId="000000C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isinstance(vector_multiplier([1, 2], [1, "2"]), TypeError)</w:t>
            </w:r>
          </w:p>
        </w:tc>
      </w:tr>
    </w:tbl>
    <w:p w:rsidR="00000000" w:rsidDel="00000000" w:rsidP="00000000" w:rsidRDefault="00000000" w:rsidRPr="00000000" w14:paraId="000000C3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функцию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vector_multiplier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Позитивное тестирование выполняется для корректных векторов одинаковой длины: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[1,2,3] * [4,5,6]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(1,2) * (3,4)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должны возвращать правильный результат произведений.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Граничное тестирование проверяет нули и отрицательные числа: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[0,1] * [2,3]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[-1,2] * [3,-4]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spacing w:after="0" w:afterAutospacing="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Негативное тестирование проверяет несовпадение длины векторов: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[1,2] * [1,2,3]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должно возвращать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ValueError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типизации входных данных проверяет, что строки или другие некорректные типы коллекций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"string", [1,2]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и элементы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[1,"2"]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вызывают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C8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Методология: сочетание позитивного, негативного и граничного тестирования с контролем типов элементов и длины коллекций.</w:t>
      </w:r>
    </w:p>
    <w:p w:rsidR="00000000" w:rsidDel="00000000" w:rsidP="00000000" w:rsidRDefault="00000000" w:rsidRPr="00000000" w14:paraId="000000C9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test_upper_case()</w:t>
      </w:r>
    </w:p>
    <w:tbl>
      <w:tblPr>
        <w:tblStyle w:val="Table14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test_upper_case():</w:t>
            </w:r>
          </w:p>
          <w:p w:rsidR="00000000" w:rsidDel="00000000" w:rsidP="00000000" w:rsidRDefault="00000000" w:rsidRPr="00000000" w14:paraId="000000C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upper_case("hello") == "HELLO"</w:t>
            </w:r>
          </w:p>
          <w:p w:rsidR="00000000" w:rsidDel="00000000" w:rsidP="00000000" w:rsidRDefault="00000000" w:rsidRPr="00000000" w14:paraId="000000C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upper_case("Python") == "PYTHON"</w:t>
            </w:r>
          </w:p>
          <w:p w:rsidR="00000000" w:rsidDel="00000000" w:rsidP="00000000" w:rsidRDefault="00000000" w:rsidRPr="00000000" w14:paraId="000000C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upper_case("test case") == "TEST CASE"</w:t>
            </w:r>
          </w:p>
          <w:p w:rsidR="00000000" w:rsidDel="00000000" w:rsidP="00000000" w:rsidRDefault="00000000" w:rsidRPr="00000000" w14:paraId="000000C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upper_case("") == ""</w:t>
            </w:r>
          </w:p>
          <w:p w:rsidR="00000000" w:rsidDel="00000000" w:rsidP="00000000" w:rsidRDefault="00000000" w:rsidRPr="00000000" w14:paraId="000000D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assert upper_case("123abc") == "123ABC"</w:t>
            </w:r>
          </w:p>
        </w:tc>
      </w:tr>
    </w:tbl>
    <w:p w:rsidR="00000000" w:rsidDel="00000000" w:rsidP="00000000" w:rsidRDefault="00000000" w:rsidRPr="00000000" w14:paraId="000000D1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 проверяет функцию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upper_case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spacing w:after="0" w:afterAutospacing="0" w:before="24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Позитивное тестирование проверяет, что строки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"hello"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"Python"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"test case"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пустая строка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строка с цифрами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"123abc"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корректно преобразуются в верхний регистр.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spacing w:after="240" w:before="0" w:beforeAutospacing="0" w:line="360" w:lineRule="auto"/>
        <w:ind w:left="720" w:hanging="36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Тестирование типизации входных данных проверяет, что некорректные типы (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123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[]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) вызывают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TypeError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D4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Методология: проверка корректности работы функции на разных типах строк и проверка типов входных данных.</w:t>
      </w:r>
    </w:p>
    <w:p w:rsidR="00000000" w:rsidDel="00000000" w:rsidP="00000000" w:rsidRDefault="00000000" w:rsidRPr="00000000" w14:paraId="000000D5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Проведём мутационное тестирование.</w:t>
      </w:r>
    </w:p>
    <w:p w:rsidR="00000000" w:rsidDel="00000000" w:rsidP="00000000" w:rsidRDefault="00000000" w:rsidRPr="00000000" w14:paraId="000000D6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validate_email(email)</w:t>
      </w:r>
    </w:p>
    <w:tbl>
      <w:tblPr>
        <w:tblStyle w:val="Table15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validate_email(email):</w:t>
            </w:r>
          </w:p>
          <w:p w:rsidR="00000000" w:rsidDel="00000000" w:rsidP="00000000" w:rsidRDefault="00000000" w:rsidRPr="00000000" w14:paraId="000000D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type(email) != str:</w:t>
            </w:r>
          </w:p>
          <w:p w:rsidR="00000000" w:rsidDel="00000000" w:rsidP="00000000" w:rsidRDefault="00000000" w:rsidRPr="00000000" w14:paraId="000000D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TypeError('String value expected')</w:t>
            </w:r>
          </w:p>
          <w:p w:rsidR="00000000" w:rsidDel="00000000" w:rsidP="00000000" w:rsidRDefault="00000000" w:rsidRPr="00000000" w14:paraId="000000D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'#' in email and '.' in email.split('@')[-1]</w:t>
            </w:r>
          </w:p>
        </w:tc>
      </w:tr>
    </w:tbl>
    <w:p w:rsidR="00000000" w:rsidDel="00000000" w:rsidP="00000000" w:rsidRDefault="00000000" w:rsidRPr="00000000" w14:paraId="000000DB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get_range(lst)</w:t>
      </w:r>
    </w:p>
    <w:tbl>
      <w:tblPr>
        <w:tblStyle w:val="Table16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get_range(lst):</w:t>
            </w:r>
          </w:p>
          <w:p w:rsidR="00000000" w:rsidDel="00000000" w:rsidP="00000000" w:rsidRDefault="00000000" w:rsidRPr="00000000" w14:paraId="000000D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type(lst) not in [list, tuple, set]:</w:t>
            </w:r>
          </w:p>
          <w:p w:rsidR="00000000" w:rsidDel="00000000" w:rsidP="00000000" w:rsidRDefault="00000000" w:rsidRPr="00000000" w14:paraId="000000D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TypeError('List value expected')</w:t>
            </w:r>
          </w:p>
          <w:p w:rsidR="00000000" w:rsidDel="00000000" w:rsidP="00000000" w:rsidRDefault="00000000" w:rsidRPr="00000000" w14:paraId="000000E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max(lst), min(lst)</w:t>
            </w:r>
          </w:p>
        </w:tc>
      </w:tr>
    </w:tbl>
    <w:p w:rsidR="00000000" w:rsidDel="00000000" w:rsidP="00000000" w:rsidRDefault="00000000" w:rsidRPr="00000000" w14:paraId="000000E1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only_even(lst)</w:t>
      </w:r>
    </w:p>
    <w:tbl>
      <w:tblPr>
        <w:tblStyle w:val="Table17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only_even(lst):</w:t>
            </w:r>
          </w:p>
          <w:p w:rsidR="00000000" w:rsidDel="00000000" w:rsidP="00000000" w:rsidRDefault="00000000" w:rsidRPr="00000000" w14:paraId="000000E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type(lst) not in [list, tuple, set]:</w:t>
            </w:r>
          </w:p>
          <w:p w:rsidR="00000000" w:rsidDel="00000000" w:rsidP="00000000" w:rsidRDefault="00000000" w:rsidRPr="00000000" w14:paraId="000000E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TypeError('List value expected')</w:t>
            </w:r>
          </w:p>
          <w:p w:rsidR="00000000" w:rsidDel="00000000" w:rsidP="00000000" w:rsidRDefault="00000000" w:rsidRPr="00000000" w14:paraId="000000E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lst:</w:t>
            </w:r>
          </w:p>
          <w:p w:rsidR="00000000" w:rsidDel="00000000" w:rsidP="00000000" w:rsidRDefault="00000000" w:rsidRPr="00000000" w14:paraId="000000E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type(i) != int:</w:t>
            </w:r>
          </w:p>
          <w:p w:rsidR="00000000" w:rsidDel="00000000" w:rsidP="00000000" w:rsidRDefault="00000000" w:rsidRPr="00000000" w14:paraId="000000E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TypeError('List must consist from integer values expected')</w:t>
            </w:r>
          </w:p>
          <w:p w:rsidR="00000000" w:rsidDel="00000000" w:rsidP="00000000" w:rsidRDefault="00000000" w:rsidRPr="00000000" w14:paraId="000000EA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lst:</w:t>
            </w:r>
          </w:p>
          <w:p w:rsidR="00000000" w:rsidDel="00000000" w:rsidP="00000000" w:rsidRDefault="00000000" w:rsidRPr="00000000" w14:paraId="000000EB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i % 2 == 0:</w:t>
            </w:r>
          </w:p>
          <w:p w:rsidR="00000000" w:rsidDel="00000000" w:rsidP="00000000" w:rsidRDefault="00000000" w:rsidRPr="00000000" w14:paraId="000000E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False</w:t>
            </w:r>
          </w:p>
          <w:p w:rsidR="00000000" w:rsidDel="00000000" w:rsidP="00000000" w:rsidRDefault="00000000" w:rsidRPr="00000000" w14:paraId="000000E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True</w:t>
            </w:r>
          </w:p>
        </w:tc>
      </w:tr>
    </w:tbl>
    <w:p w:rsidR="00000000" w:rsidDel="00000000" w:rsidP="00000000" w:rsidRDefault="00000000" w:rsidRPr="00000000" w14:paraId="000000EE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vector_multiplier(vec1, vec2)</w:t>
      </w:r>
    </w:p>
    <w:tbl>
      <w:tblPr>
        <w:tblStyle w:val="Table18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vector_multiplier(vec1, vec2):</w:t>
            </w:r>
          </w:p>
          <w:p w:rsidR="00000000" w:rsidDel="00000000" w:rsidP="00000000" w:rsidRDefault="00000000" w:rsidRPr="00000000" w14:paraId="000000F1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type(vec1) not in [list, tuple, set] or type(vec2) not in [list, tuple, set]:</w:t>
            </w:r>
          </w:p>
          <w:p w:rsidR="00000000" w:rsidDel="00000000" w:rsidP="00000000" w:rsidRDefault="00000000" w:rsidRPr="00000000" w14:paraId="000000F2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TypeError('List value expected')</w:t>
            </w:r>
          </w:p>
          <w:p w:rsidR="00000000" w:rsidDel="00000000" w:rsidP="00000000" w:rsidRDefault="00000000" w:rsidRPr="00000000" w14:paraId="000000F3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vec1:</w:t>
            </w:r>
          </w:p>
          <w:p w:rsidR="00000000" w:rsidDel="00000000" w:rsidP="00000000" w:rsidRDefault="00000000" w:rsidRPr="00000000" w14:paraId="000000F4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type(i) != int:</w:t>
            </w:r>
          </w:p>
          <w:p w:rsidR="00000000" w:rsidDel="00000000" w:rsidP="00000000" w:rsidRDefault="00000000" w:rsidRPr="00000000" w14:paraId="000000F5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TypeError('List must consist from integer values expected')</w:t>
            </w:r>
          </w:p>
          <w:p w:rsidR="00000000" w:rsidDel="00000000" w:rsidP="00000000" w:rsidRDefault="00000000" w:rsidRPr="00000000" w14:paraId="000000F6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for i in vec2:</w:t>
            </w:r>
          </w:p>
          <w:p w:rsidR="00000000" w:rsidDel="00000000" w:rsidP="00000000" w:rsidRDefault="00000000" w:rsidRPr="00000000" w14:paraId="000000F7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if type(i) != int:</w:t>
            </w:r>
          </w:p>
          <w:p w:rsidR="00000000" w:rsidDel="00000000" w:rsidP="00000000" w:rsidRDefault="00000000" w:rsidRPr="00000000" w14:paraId="000000F8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    return TypeError('List must consist from integer values expected')</w:t>
            </w:r>
          </w:p>
          <w:p w:rsidR="00000000" w:rsidDel="00000000" w:rsidP="00000000" w:rsidRDefault="00000000" w:rsidRPr="00000000" w14:paraId="000000F9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[(vec1[i] + vec2[i]) for i in range(len(vec1))]</w:t>
            </w:r>
          </w:p>
        </w:tc>
      </w:tr>
    </w:tbl>
    <w:p w:rsidR="00000000" w:rsidDel="00000000" w:rsidP="00000000" w:rsidRDefault="00000000" w:rsidRPr="00000000" w14:paraId="000000F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firstLine="708.6614173228347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upper_case(string)</w:t>
      </w:r>
    </w:p>
    <w:tbl>
      <w:tblPr>
        <w:tblStyle w:val="Table19"/>
        <w:tblW w:w="935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56"/>
        <w:tblGridChange w:id="0">
          <w:tblGrid>
            <w:gridCol w:w="935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def upper_case(string):</w:t>
            </w:r>
          </w:p>
          <w:p w:rsidR="00000000" w:rsidDel="00000000" w:rsidP="00000000" w:rsidRDefault="00000000" w:rsidRPr="00000000" w14:paraId="000000FD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if type(string) != str:</w:t>
            </w:r>
          </w:p>
          <w:p w:rsidR="00000000" w:rsidDel="00000000" w:rsidP="00000000" w:rsidRDefault="00000000" w:rsidRPr="00000000" w14:paraId="000000FE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    return TypeError('String value expected')</w:t>
            </w:r>
          </w:p>
          <w:p w:rsidR="00000000" w:rsidDel="00000000" w:rsidP="00000000" w:rsidRDefault="00000000" w:rsidRPr="00000000" w14:paraId="000000FF">
            <w:pPr>
              <w:widowControl w:val="0"/>
              <w:spacing w:after="0" w:line="240" w:lineRule="auto"/>
              <w:rPr>
                <w:rFonts w:ascii="Courier New" w:cs="Courier New" w:eastAsia="Courier New" w:hAnsi="Courier New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4"/>
                <w:szCs w:val="24"/>
                <w:rtl w:val="0"/>
              </w:rPr>
              <w:t xml:space="preserve">    return string.lower()</w:t>
            </w:r>
          </w:p>
        </w:tc>
      </w:tr>
    </w:tbl>
    <w:p w:rsidR="00000000" w:rsidDel="00000000" w:rsidP="00000000" w:rsidRDefault="00000000" w:rsidRPr="00000000" w14:paraId="0000010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40" w:before="240" w:line="360" w:lineRule="auto"/>
        <w:ind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spacing w:after="240" w:before="240" w:line="360" w:lineRule="auto"/>
        <w:jc w:val="center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ht182snp2sbs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103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Анализ проведенного тестирования показывает, что набор тестов обеспечивает достаточно высокое покрытие функций как по позитивным, так и по негативным сценариям. Тесты проверяют корректность работы функций с правильными данными, обработку ошибок типов, а также граничные случаи, такие как пустые коллекции или одиночные элементы. Это позволяет с высокой вероятностью выявлять ошибки логики и некорректную работу функций.</w:t>
      </w:r>
    </w:p>
    <w:p w:rsidR="00000000" w:rsidDel="00000000" w:rsidP="00000000" w:rsidRDefault="00000000" w:rsidRPr="00000000" w14:paraId="00000104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Итоговые выводы показывают, что текущее тестирование обеспечивает базовую уверенность в корректности функций, однако для повышения надежности системы необходимо дополнить тесты сценариями, выявляющими логические ошибки, которые могут быть пропущены стандартными проверками. Мутационное тестирование продемонстрировало эффективность текущих тестов и указало на направления для их улучшения, что позволяет сделать функции более устойчивыми к ошибкам и повысить качество кода.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40" w:before="240"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40" w:before="240"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pacing w:after="240" w:before="240" w:line="360" w:lineRule="auto"/>
        <w:ind w:left="0" w:firstLine="708.661417322834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line="360" w:lineRule="auto"/>
        <w:ind w:firstLine="708.661417322834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footerReference r:id="rId10" w:type="first"/>
      <w:pgSz w:h="16838" w:w="11906" w:orient="portrait"/>
      <w:pgMar w:bottom="1134" w:top="1134" w:left="1700.7874015748032" w:right="85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Times New Roman"/>
  <w:font w:name="Gungsuh"/>
  <w:font w:name="Courier New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C">
    <w:pPr>
      <w:widowControl w:val="0"/>
      <w:spacing w:after="0" w:line="276" w:lineRule="auto"/>
      <w:jc w:val="center"/>
      <w:rPr/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0D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E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Fonts w:ascii="Times New Roman" w:cs="Times New Roman" w:eastAsia="Times New Roman" w:hAnsi="Times New Roman"/>
        <w:sz w:val="28"/>
        <w:szCs w:val="28"/>
        <w:rtl w:val="0"/>
      </w:rPr>
      <w:t xml:space="preserve">Москва 2025</w:t>
    </w:r>
  </w:p>
  <w:p w:rsidR="00000000" w:rsidDel="00000000" w:rsidP="00000000" w:rsidRDefault="00000000" w:rsidRPr="00000000" w14:paraId="0000010F">
    <w:pPr>
      <w:jc w:val="center"/>
      <w:rPr>
        <w:rFonts w:ascii="Times New Roman" w:cs="Times New Roman" w:eastAsia="Times New Roman" w:hAnsi="Times New Roman"/>
        <w:sz w:val="28"/>
        <w:szCs w:val="2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"/>
      </w:rPr>
    </w:rPrDefault>
    <w:pPrDefault>
      <w:pPr>
        <w:spacing w:after="160" w:line="252.00000000000003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</w:tblPr>
  </w:style>
  <w:style w:type="table" w:styleId="Table6">
    <w:basedOn w:val="TableNormal"/>
    <w:tblPr>
      <w:tblStyleRowBandSize w:val="1"/>
      <w:tblStyleColBandSize w:val="1"/>
    </w:tblPr>
  </w:style>
  <w:style w:type="table" w:styleId="Table7">
    <w:basedOn w:val="TableNormal"/>
    <w:tblPr>
      <w:tblStyleRowBandSize w:val="1"/>
      <w:tblStyleColBandSize w:val="1"/>
    </w:tblPr>
  </w:style>
  <w:style w:type="table" w:styleId="Table8">
    <w:basedOn w:val="TableNormal"/>
    <w:tblPr>
      <w:tblStyleRowBandSize w:val="1"/>
      <w:tblStyleColBandSize w:val="1"/>
    </w:tblPr>
  </w:style>
  <w:style w:type="table" w:styleId="Table9">
    <w:basedOn w:val="TableNormal"/>
    <w:tblPr>
      <w:tblStyleRowBandSize w:val="1"/>
      <w:tblStyleColBandSize w:val="1"/>
    </w:tblPr>
  </w:style>
  <w:style w:type="table" w:styleId="Table10">
    <w:basedOn w:val="TableNormal"/>
    <w:tblPr>
      <w:tblStyleRowBandSize w:val="1"/>
      <w:tblStyleColBandSize w:val="1"/>
    </w:tblPr>
  </w:style>
  <w:style w:type="table" w:styleId="Table11">
    <w:basedOn w:val="TableNormal"/>
    <w:tblPr>
      <w:tblStyleRowBandSize w:val="1"/>
      <w:tblStyleColBandSize w:val="1"/>
    </w:tblPr>
  </w:style>
  <w:style w:type="table" w:styleId="Table12">
    <w:basedOn w:val="TableNormal"/>
    <w:tblPr>
      <w:tblStyleRowBandSize w:val="1"/>
      <w:tblStyleColBandSize w:val="1"/>
    </w:tblPr>
  </w:style>
  <w:style w:type="table" w:styleId="Table13">
    <w:basedOn w:val="TableNormal"/>
    <w:tblPr>
      <w:tblStyleRowBandSize w:val="1"/>
      <w:tblStyleColBandSize w:val="1"/>
    </w:tblPr>
  </w:style>
  <w:style w:type="table" w:styleId="Table14">
    <w:basedOn w:val="TableNormal"/>
    <w:tblPr>
      <w:tblStyleRowBandSize w:val="1"/>
      <w:tblStyleColBandSize w:val="1"/>
    </w:tblPr>
  </w:style>
  <w:style w:type="table" w:styleId="Table15">
    <w:basedOn w:val="TableNormal"/>
    <w:tblPr>
      <w:tblStyleRowBandSize w:val="1"/>
      <w:tblStyleColBandSize w:val="1"/>
    </w:tblPr>
  </w:style>
  <w:style w:type="table" w:styleId="Table16">
    <w:basedOn w:val="TableNormal"/>
    <w:tblPr>
      <w:tblStyleRowBandSize w:val="1"/>
      <w:tblStyleColBandSize w:val="1"/>
    </w:tblPr>
  </w:style>
  <w:style w:type="table" w:styleId="Table17">
    <w:basedOn w:val="TableNormal"/>
    <w:tblPr>
      <w:tblStyleRowBandSize w:val="1"/>
      <w:tblStyleColBandSize w:val="1"/>
    </w:tblPr>
  </w:style>
  <w:style w:type="table" w:styleId="Table18">
    <w:basedOn w:val="TableNormal"/>
    <w:tblPr>
      <w:tblStyleRowBandSize w:val="1"/>
      <w:tblStyleColBandSize w:val="1"/>
    </w:tblPr>
  </w:style>
  <w:style w:type="table" w:styleId="Table19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