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knokkeroo — Core Functionality Tester Test Case Specification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ID</w:t>
            </w:r>
          </w:p>
        </w:tc>
        <w:tc>
          <w:tcPr>
            <w:tcW w:type="dxa" w:w="4320"/>
          </w:tcPr>
          <w:p>
            <w:r>
              <w:t>KROO-QA-TC-CORE-001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Applies to</w:t>
            </w:r>
          </w:p>
        </w:tc>
        <w:tc>
          <w:tcPr>
            <w:tcW w:type="dxa" w:w="4320"/>
          </w:tcPr>
          <w:p>
            <w:r>
              <w:t>Live production app — Android 3.5.15, iOS 3.5.16, Huawei 3.5.9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Format</w:t>
            </w:r>
          </w:p>
        </w:tc>
        <w:tc>
          <w:tcPr>
            <w:tcW w:type="dxa" w:w="4320"/>
          </w:tcPr>
          <w:p>
            <w:r>
              <w:t>ISO/IEC/IEEE 29119-3 conformant Test Case Specification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Issue date</w:t>
            </w:r>
          </w:p>
        </w:tc>
        <w:tc>
          <w:tcPr>
            <w:tcW w:type="dxa" w:w="4320"/>
          </w:tcPr>
          <w:p>
            <w:r>
              <w:t>30 July 2026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320"/>
          </w:tcPr>
          <w:p>
            <w:r>
              <w:t>External — for knokkeroo tester program participants</w:t>
            </w:r>
          </w:p>
        </w:tc>
      </w:tr>
    </w:tbl>
    <w:p/>
    <w:p>
      <w:r>
        <w:t>Fill in Actual Result, Pass/Fail, Tester, Date and Comments as you execute each case. Report any Fail — and any Pass you're unsure about — to hello@knokkeroo.com with this document's ID and the test case ID (e.g. "CORE-3") in the subject line.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720"/>
            <w:shd w:val="clear" w:color="auto" w:fill="D9D2C5"/>
          </w:tcPr>
          <w:p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  <w:shd w:val="clear" w:color="auto" w:fill="D9D2C5"/>
          </w:tcPr>
          <w:p>
            <w:r>
              <w:rPr>
                <w:b/>
                <w:sz w:val="18"/>
              </w:rPr>
              <w:t>Objective / Preconditions</w:t>
            </w:r>
          </w:p>
        </w:tc>
        <w:tc>
          <w:tcPr>
            <w:tcW w:type="dxa" w:w="2880"/>
            <w:shd w:val="clear" w:color="auto" w:fill="D9D2C5"/>
          </w:tcPr>
          <w:p>
            <w:r>
              <w:rPr>
                <w:b/>
                <w:sz w:val="18"/>
              </w:rPr>
              <w:t>Test Steps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Test Data</w:t>
            </w:r>
          </w:p>
        </w:tc>
        <w:tc>
          <w:tcPr>
            <w:tcW w:type="dxa" w:w="2304"/>
            <w:shd w:val="clear" w:color="auto" w:fill="D9D2C5"/>
          </w:tcPr>
          <w:p>
            <w:r>
              <w:rPr>
                <w:b/>
                <w:sz w:val="18"/>
              </w:rPr>
              <w:t>Expected Result</w:t>
            </w:r>
          </w:p>
        </w:tc>
        <w:tc>
          <w:tcPr>
            <w:tcW w:type="dxa" w:w="1584"/>
            <w:shd w:val="clear" w:color="auto" w:fill="D9D2C5"/>
          </w:tcPr>
          <w:p>
            <w:r>
              <w:rPr>
                <w:b/>
                <w:sz w:val="18"/>
              </w:rPr>
              <w:t>Actual Result</w:t>
            </w:r>
          </w:p>
        </w:tc>
        <w:tc>
          <w:tcPr>
            <w:tcW w:type="dxa" w:w="864"/>
            <w:shd w:val="clear" w:color="auto" w:fill="D9D2C5"/>
          </w:tcPr>
          <w:p>
            <w:r>
              <w:rPr>
                <w:b/>
                <w:sz w:val="18"/>
              </w:rPr>
              <w:t>Pass/Fail</w:t>
            </w:r>
          </w:p>
        </w:tc>
        <w:tc>
          <w:tcPr>
            <w:tcW w:type="dxa" w:w="1152"/>
            <w:shd w:val="clear" w:color="auto" w:fill="D9D2C5"/>
          </w:tcPr>
          <w:p>
            <w:r>
              <w:rPr>
                <w:b/>
                <w:sz w:val="18"/>
              </w:rPr>
              <w:t>Tester</w:t>
            </w:r>
          </w:p>
        </w:tc>
        <w:tc>
          <w:tcPr>
            <w:tcW w:type="dxa" w:w="1008"/>
            <w:shd w:val="clear" w:color="auto" w:fill="D9D2C5"/>
          </w:tcPr>
          <w:p>
            <w:r>
              <w:rPr>
                <w:b/>
                <w:sz w:val="18"/>
              </w:rPr>
              <w:t>Date</w:t>
            </w:r>
          </w:p>
        </w:tc>
        <w:tc>
          <w:tcPr>
            <w:tcW w:type="dxa" w:w="1440"/>
            <w:shd w:val="clear" w:color="auto" w:fill="D9D2C5"/>
          </w:tcPr>
          <w:p>
            <w:r>
              <w:rPr>
                <w:b/>
                <w:sz w:val="18"/>
              </w:rPr>
              <w:t>Comments</w:t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Registration / login by verification code.</w:t>
              <w:br/>
              <w:t>Preconditions: app installed, signed out.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Select your country.</w:t>
              <w:br/>
              <w:t>2. Enter your phone number.</w:t>
              <w:br/>
              <w:t>3. Tap Send verification code.</w:t>
              <w:br/>
              <w:t>4. Enter the code you receive.</w:t>
              <w:br/>
              <w:t>5. Tap Verify code.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real phone number (or a demo account — see docs/qa/MANUAL_TEST_CASES.md for the demo table)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A verification code arrives (or, for a demo account, appears immediately with no SMS); entering it lands on the contacts (home)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Contacts screen status colours.</w:t>
              <w:br/>
              <w:t>Preconditions: logged in, at least one approved contact.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Observe each contact tile's colour.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h = hours since their last knok, n = your alert interval for them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h &lt; n = green, n ≤ h &lt; 2n = amber, h ≥ 2n (or never) = red — matches every contact exactly.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Send a connection request and have it accepted.</w:t>
              <w:br/>
              <w:t>Preconditions: two accounts, A and B, not yet connected.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On A, tap Add Contact, enter B's number.</w:t>
              <w:br/>
              <w:t>2. On B, open the pending-approval prompt and accept.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two real or demo accounts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B's request shows A's name/number with a recognise-them warning before accepting; after accepting, both A and B show each other as an approved contact.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Knok updates your own last-checked-in time immediately.</w:t>
              <w:br/>
              <w:t>Preconditions: logged in, on the home screen.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Tap your own Me tile.</w:t>
              <w:br/>
              <w:t>2. Tap Knok.</w:t>
              <w:br/>
              <w:t>3. Return to the home screen.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logged-in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Your own tile's last-knok time updates to now without a manual refresh.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Quiet hours suppress the overdue alert window as expected.</w:t>
              <w:br/>
              <w:t>Preconditions: a contact with quiet hours set.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Open Contact Settings for that contact.</w:t>
              <w:br/>
              <w:t>2. Set sleep_start/sleep_end to cover the current time.</w:t>
              <w:br/>
              <w:t>3. Let their interval lapse.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Any contact, quiet hours set to include "now"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contact does not flip to amber/red purely due to elapsed time inside their quiet-hours window.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720"/>
          </w:tcPr>
          <w:p>
            <w:r>
              <w:rPr>
                <w:sz w:val="18"/>
              </w:rPr>
              <w:t>CORE-6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Account deletion removes the account and frees the phone number.</w:t>
              <w:br/>
              <w:t>Preconditions: a disposable test account.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1. Me → Delete account → confirm.</w:t>
              <w:br/>
              <w:t>2. Attempt to register again with the same number.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A disposable test account, not a real ongoing account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The account, its connections, and knoks are removed; the same phone number can register a brand-new account afterward.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</w:r>
          </w:p>
        </w:tc>
        <w:tc>
          <w:tcPr>
            <w:tcW w:type="dxa" w:w="864"/>
          </w:tcPr>
          <w:p>
            <w:r>
              <w:rPr>
                <w:sz w:val="18"/>
              </w:rPr>
            </w:r>
          </w:p>
        </w:tc>
        <w:tc>
          <w:tcPr>
            <w:tcW w:type="dxa" w:w="1152"/>
          </w:tcPr>
          <w:p>
            <w:r>
              <w:rPr>
                <w:sz w:val="18"/>
              </w:rPr>
            </w:r>
          </w:p>
        </w:tc>
        <w:tc>
          <w:tcPr>
            <w:tcW w:type="dxa" w:w="1008"/>
          </w:tcPr>
          <w:p>
            <w:r>
              <w:rPr>
                <w:sz w:val="18"/>
              </w:rPr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</w:p>
        </w:tc>
      </w:tr>
    </w:tbl>
    <w:p/>
    <w:p>
      <w:r>
        <w:t>Full Terms &amp; Conditions: https://www.odderonphi.com/knokkeroo/terms</w:t>
        <w:br/>
        <w:t>Report bugs / unclear steps: hello@knokkeroo.com — include the Document ID and test case ID.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