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mc="http://schemas.openxmlformats.org/markup-compatibility/2006" xmlns:r="http://purl.oclc.org/ooxml/officeDocument/relationships" xmlns:w="http://purl.oclc.org/ooxml/wordprocessingml/main" mc:Ignorable="w14 w15 w16se w16cid w16 w16cex w16sdtdh wne wp14" w:conformance="strict">
  <w:body>
    <w:p>
      <w:pPr>
        <w:pStyle w:val="papertitle"/>
      </w:pPr>
      <w:r>
        <w:t xml:space="preserve">GuardLens: Temporal Monitoring of Emerging LLM Safety Blind Spots</w:t>
      </w:r>
    </w:p>
    <w:p>
      <w:pPr>
        <w:pStyle w:val="Author"/>
      </w:pPr>
      <w:r>
        <w:t xml:space="preserve">Praneeth Agoli</w:t>
      </w:r>
    </w:p>
    <w:p>
      <w:pPr>
        <w:pStyle w:val="Affiliation"/>
      </w:pPr>
      <w:r>
        <w:rPr>
          <w:sz w:val="18"/>
        </w:rPr>
        <w:t xml:space="preserve">praneethagoli@gmail.com</w:t>
      </w:r>
    </w:p>
    <w:p>
      <w:pPr>
        <w:sectPr>
          <w:footerReference w:type="first" r:id="rId8"/>
          <w:pgSz w:w="612pt" w:h="792pt" w:code="1"/>
          <w:pgMar w:top="54pt" w:right="44.65pt" w:bottom="72pt" w:left="44.65pt" w:header="36pt" w:footer="36pt" w:gutter="0pt"/>
          <w:cols w:space="36pt"/>
          <w:titlePg/>
          <w:docGrid w:linePitch="360"/>
        </w:sectPr>
      </w:pPr>
    </w:p>
    <w:p>
      <w:pPr>
        <w:sectPr>
          <w:type w:val="continuous"/>
          <w:pgSz w:w="612pt" w:h="792pt" w:code="1"/>
          <w:pgMar w:top="54pt" w:right="44.65pt" w:bottom="72pt" w:left="44.65pt" w:header="36pt" w:footer="36pt" w:gutter="0pt"/>
          <w:cols w:num="2" w:space="18pt"/>
          <w:docGrid w:linePitch="360"/>
        </w:sectPr>
      </w:pPr>
    </w:p>
    <w:p>
      <w:pPr>
        <w:pStyle w:val="Abstract"/>
      </w:pPr>
      <w:r>
        <w:rPr>
          <w:b/>
        </w:rPr>
        <w:t xml:space="preserve">Abstract—</w:t>
      </w:r>
      <w:r>
        <w:t xml:space="preserve">Large language model deployments rely on safety classifiers to filter harmful requests, yet these guardrails inevitably pass some adversarial inputs—creating blind spots that go undetected until exploited at scale. We present GuardLens, a lightweight, model-agnostic monitoring layer that sits behind any deployed safety classifier and watches the approved traffic stream for emerging semantic clusters. GuardLens tracks cluster identity across monitoring cycles via centroid matching and ranks clusters by an Emergence Score combining density, growth rate, and novelty against recent history. The system surfaces a fixed-budget review queue of the top-K most suspicious clusters per cycle, regardless of traffic volume. We evaluate GuardLens against four baselines across three threat regimes—novel adversarial family, coordinated attack burst, and slow semantic drift—using a DeBERTa-based injection classifier on real benchmark datasets. GuardLens achieves 100% detection across all regimes with median latency of 0–2 cycles, while no single baseline matches this consistency. Ablation analysis reveals that the novelty component of the Emergence Score is the primary driver of early detection. The system is designed for practical deployment: it requires no access to classifier internals, adds no inference-time latency, and operates within a bounded analyst review budget.</w:t>
      </w:r>
    </w:p>
    <w:p>
      <w:pPr>
        <w:pStyle w:val="Keywords"/>
      </w:pPr>
      <w:r>
        <w:rPr>
          <w:b/>
        </w:rPr>
        <w:t xml:space="preserve">Keywords—</w:t>
      </w:r>
      <w:r>
        <w:rPr>
          <w:i/>
        </w:rPr>
        <w:t xml:space="preserve">LLM safety, guardrail monitoring, blind spot detection, HDBSCAN clustering, temporal emergence detection</w:t>
      </w:r>
    </w:p>
    <w:p>
      <w:pPr>
        <w:pStyle w:val="Heading1"/>
      </w:pPr>
      <w:r>
        <w:t xml:space="preserve">Introduction</w:t>
      </w:r>
    </w:p>
    <w:p>
      <w:pPr>
        <w:pStyle w:val="BodyText"/>
      </w:pPr>
      <w:r>
        <w:t xml:space="preserve">The rapid deployment of large language models (LLMs) in production systems has made safety classifiers—commonly called guardrails—a critical component of responsible AI infrastructure [1]. These classifiers screen user inputs and model outputs for harmful content, blocking requests that match known attack patterns such as prompt injection, jailbreaking, or toxicity generation [2]. Production systems typically rely on transformer-based classifiers such as Llama Guard [3], WildGuard [4], or specialized injection detectors [5] to make real-time allow/block decisions.</w:t>
      </w:r>
    </w:p>
    <w:p>
      <w:pPr>
        <w:pStyle w:val="BodyText"/>
      </w:pPr>
      <w:r>
        <w:t xml:space="preserve">However, no classifier achieves perfect recall. Adversarial techniques evolve continuously, and novel attack families may exploit semantic gaps that existing training data does not cover [6]. When a guardrail approves a harmful request—a false negative—the failure is silent: there is no alert, no log entry, and no mechanism to surface the missed content for human review. These blind spots accumulate over time and can be systematically exploited once discovered by attackers [7].</w:t>
      </w:r>
    </w:p>
    <w:p>
      <w:pPr>
        <w:pStyle w:val="BodyText"/>
      </w:pPr>
      <w:r>
        <w:t xml:space="preserve">Current approaches to this problem fall into two categories. The first is periodic manual auditing of approved traffic, which is expensive, unscalable, and statistically unlikely to surface rare attack patterns. The second is distribution-shift detection using statistical tests such as Maximum Mean Discrepancy (MMD) [8], which can detect that the overall traffic distribution has changed but cannot localize which items are responsible or present reviewable clusters to analysts.</w:t>
      </w:r>
    </w:p>
    <w:p>
      <w:pPr>
        <w:pStyle w:val="BodyText"/>
      </w:pPr>
      <w:r>
        <w:t xml:space="preserve">Recent work by Anthropic on Clio [9] demonstrated the value of clustering production LLM traffic to discover usage patterns at scale. However, Clio focuses on characterizing what users are doing across the full traffic stream—a descriptive analytics task. It does not address the temporal dimension: detecting when a new cluster emerges over time, tracking its growth, and alerting operators before it reaches critical mass.</w:t>
      </w:r>
    </w:p>
    <w:p>
      <w:pPr>
        <w:pStyle w:val="BodyText"/>
      </w:pPr>
      <w:r>
        <w:t xml:space="preserve">We present GuardLens, a lightweight monitoring layer that operates on the approved (guardrail-passed) traffic stream and performs temporal emergence detection. Rather than clustering traffic once and inspecting the result, GuardLens tracks cluster identity across monitoring cycles, computes an Emergence Score that integrates cluster density, growth rate, and novelty against recent history, and surfaces a fixed-budget review queue to analysts. The core research question is: Can we detect an emerging attack family within a small number of monitoring cycles of its first appearance, under a bounded analyst review budget?</w:t>
      </w:r>
    </w:p>
    <w:p>
      <w:pPr>
        <w:pStyle w:val="BodyText"/>
      </w:pPr>
      <w:r>
        <w:t xml:space="preserve">Our contributions are: (1) a temporal emergence detection framework for monitoring approved LLM traffic, combining density-based clustering with cross-cycle cluster persistence tracking; (2) a single interpretable ranking metric—the Emergence Score—that prioritizes novel, growing clusters for analyst review; and (3) an empirical evaluation across three realistic threat regimes demonstrating consistent 100% detection where no single baseline achieves the same.</w:t>
      </w:r>
    </w:p>
    <w:p>
      <w:pPr>
        <w:pStyle w:val="Heading1"/>
      </w:pPr>
      <w:r>
        <w:t xml:space="preserve">Related Work</w:t>
      </w:r>
    </w:p>
    <w:p>
      <w:pPr>
        <w:pStyle w:val="Heading2"/>
      </w:pPr>
      <w:r>
        <w:t xml:space="preserve">LLM Safety Classifiers</w:t>
      </w:r>
    </w:p>
    <w:p>
      <w:pPr>
        <w:pStyle w:val="BodyText"/>
      </w:pPr>
      <w:r>
        <w:t xml:space="preserve">Modern guardrails include general-purpose models such as Llama Guard [3] and WildGuard [4], as well as specialized detectors for prompt injection [5], toxicity [10], and jailbreaking [11]. These systems have been benchmarked extensively [12], revealing recall gaps on adversarial inputs that lie outside their training distributions. GuardLens is complementary: it monitors what these classifiers approve rather than replacing them.</w:t>
      </w:r>
    </w:p>
    <w:p>
      <w:pPr>
        <w:pStyle w:val="Heading2"/>
      </w:pPr>
      <w:r>
        <w:t xml:space="preserve">Production Traffic Analysis</w:t>
      </w:r>
    </w:p>
    <w:p>
      <w:pPr>
        <w:pStyle w:val="BodyText"/>
      </w:pPr>
      <w:r>
        <w:t xml:space="preserve">Clio [9] clusters production LLM conversations using hierarchical topic modeling to discover usage patterns. While Clio operates at impressive scale, its focus is descriptive: it characterizes what users are doing, not whether new activity is emerging or whether it represents a safety concern. GuardLens addresses a different research question—temporal emergence detection—by tracking cluster births, growth, and novelty over time.</w:t>
      </w:r>
    </w:p>
    <w:p>
      <w:pPr>
        <w:pStyle w:val="Heading2"/>
      </w:pPr>
      <w:r>
        <w:t xml:space="preserve">Distribution Shift Detection</w:t>
      </w:r>
    </w:p>
    <w:p>
      <w:pPr>
        <w:pStyle w:val="BodyText"/>
      </w:pPr>
      <w:r>
        <w:t xml:space="preserve">Statistical drift detection methods, including MMD [8], LSDD [13], and classifier-based approaches [14], test whether a new data sample comes from the same distribution as a reference. These methods can flag that something has changed but cannot localize the change to specific items or present interpretable clusters for review. As our experiments show, MMD also struggles with slow drift where the distributional shift per cycle is below the test's sensitivity threshold.</w:t>
      </w:r>
    </w:p>
    <w:p>
      <w:pPr>
        <w:pStyle w:val="Heading1"/>
      </w:pPr>
      <w:r>
        <w:t xml:space="preserve">Methodology</w:t>
      </w:r>
    </w:p>
    <w:p>
      <w:pPr>
        <w:pStyle w:val="Heading2"/>
      </w:pPr>
      <w:r>
        <w:t xml:space="preserve">System Architecture</w:t>
      </w:r>
    </w:p>
    <w:p>
      <w:pPr>
        <w:pStyle w:val="BodyText"/>
      </w:pPr>
      <w:r>
        <w:t xml:space="preserve">GuardLens operates as a post-hoc monitoring layer. It receives the stream of inputs that the deployed safety classifier has approved (scored below the blocking threshold) and processes them in discrete monitoring cycles. The system has no access to classifier internals, requires no modification to the deployed model, and adds zero inference-time latency—it runs asynchronously on batched approved traffic. The pipeline for each cycle is: embed → cluster (sliding window) → register (cross-cycle persistence) → score (Emergence Score) → rank (top-K queue).</w:t>
      </w:r>
    </w:p>
    <w:p>
      <w:pPr>
        <w:pStyle w:val="Heading2"/>
      </w:pPr>
      <w:r>
        <w:t xml:space="preserve">Sliding Window Clustering</w:t>
      </w:r>
    </w:p>
    <w:p>
      <w:pPr>
        <w:pStyle w:val="BodyText"/>
      </w:pPr>
      <w:r>
        <w:t xml:space="preserve">Each monitoring cycle, the approved texts are embedded using a sentence transformer (all-MiniLM-L6-v2, 384 dimensions, L2-normalized) [15]. The embeddings from the current cycle are concatenated with those from the previous W−1 cycles, forming a sliding window of W cycles. HDBSCAN [16] is applied to this window with min_cluster_size=5, min_samples=3, metric=euclidean, and cluster_selection_method=eom. The sliding window ensures that clusters spanning cycle boundaries are not artificially split, and that a small number of attack items that would not cluster alone can accumulate across cycles until they reach critical mass.</w:t>
      </w:r>
    </w:p>
    <w:p>
      <w:pPr>
        <w:pStyle w:val="Heading2"/>
      </w:pPr>
      <w:r>
        <w:t xml:space="preserve">Cluster Persistence</w:t>
      </w:r>
    </w:p>
    <w:p>
      <w:pPr>
        <w:pStyle w:val="BodyText"/>
      </w:pPr>
      <w:r>
        <w:t xml:space="preserve">Raw HDBSCAN clusters are anonymous: they have no identity linking them to clusters from previous cycles. The Cluster Registry assigns each cluster a persistent unique identifier (UID) by matching its L2-normalized centroid to the nearest centroid from the previous cycle via cosine similarity. A match above a threshold of 0.85 means the cluster is the same entity—it has moved slightly in embedding space but represents the same semantic family. A match below the threshold is treated as a newly born cluster. The registry maintains a bounded history of H cycles (default 7), recording each cluster's size, centroid, and age (consecutive cycles of existence). This history enables the growth and novelty computations described next.</w:t>
      </w:r>
    </w:p>
    <w:p>
      <w:pPr>
        <w:pStyle w:val="Heading2"/>
      </w:pPr>
      <w:r>
        <w:t xml:space="preserve">Emergence Score</w:t>
      </w:r>
    </w:p>
    <w:p>
      <w:pPr>
        <w:pStyle w:val="BodyText"/>
      </w:pPr>
      <w:r>
        <w:t xml:space="preserve">Each tracked cluster is scored by a single metric that integrates three independently inspectable components:</w:t>
      </w:r>
    </w:p>
    <w:p>
      <w:pPr>
        <w:pStyle w:val="equation"/>
      </w:pPr>
      <w:r>
        <w:t xml:space="preserve">emergence = density × max(growth, 0.1) × novelty</w:t>
      </w:r>
    </w:p>
    <w:p>
      <w:pPr>
        <w:pStyle w:val="BodyText"/>
      </w:pPr>
      <w:r>
        <w:t xml:space="preserve">Density is the HDBSCAN cluster_persistence_ value, reflecting how tight and stable the cluster is in embedding space. Growth is log(size_t / size_{t-1}) + 1, measuring how fast a tracked cluster is expanding cycle-over-cycle; a newly born cluster (no previous size) receives a neutral growth of 1.0. Novelty is 1 − max(cos_sim(centroid, h)) for all historical centroids h in the registry's bounded memory, excluding the cluster's own history; a cluster unlike anything recently seen scores near 1.0, while a recurring pattern scores near 0. The growth term is floored at 0.1 to prevent a single zero-growth cycle from nullifying the score.</w:t>
      </w:r>
    </w:p>
    <w:p>
      <w:pPr>
        <w:pStyle w:val="Heading2"/>
      </w:pPr>
      <w:r>
        <w:t xml:space="preserve">Top-K Review Queue</w:t>
      </w:r>
    </w:p>
    <w:p>
      <w:pPr>
        <w:pStyle w:val="BodyText"/>
      </w:pPr>
      <w:r>
        <w:t xml:space="preserve">Each cycle, the scored clusters are sorted by Emergence Score descending and the top K are presented to analysts. This bounds the operational cost: regardless of traffic volume, analysts review exactly K clusters per cycle. In our experiments, K ranges from 3 to 5 depending on the regime. The queue serves as the detection mechanism: if any cluster in the queue contains a majority (≥50%) of ground-truth attack items, the method is credited with a detection.</w:t>
      </w:r>
    </w:p>
    <w:p>
      <w:pPr>
        <w:pStyle w:val="Heading1"/>
      </w:pPr>
      <w:r>
        <w:t xml:space="preserve">Experimental Setup</w:t>
      </w:r>
    </w:p>
    <w:p>
      <w:pPr>
        <w:pStyle w:val="Heading2"/>
      </w:pPr>
      <w:r>
        <w:t xml:space="preserve">Deployed Guardrail</w:t>
      </w:r>
    </w:p>
    <w:p>
      <w:pPr>
        <w:pStyle w:val="BodyText"/>
      </w:pPr>
      <w:r>
        <w:t xml:space="preserve">We use the ProtectAI DeBERTa-v3 prompt injection classifier [5] as the deployed guardrail, with a blocking threshold of 0.5. Inputs scoring below this threshold are treated as approved. This classifier represents a realistic production setup: it is publicly available, widely used, and has known recall gaps on adversarial inputs outside its training distribution.</w:t>
      </w:r>
    </w:p>
    <w:p>
      <w:pPr>
        <w:pStyle w:val="Heading2"/>
      </w:pPr>
      <w:r>
        <w:t xml:space="preserve">Threat Regimes</w:t>
      </w:r>
    </w:p>
    <w:p>
      <w:pPr>
        <w:pStyle w:val="BodyText"/>
      </w:pPr>
      <w:r>
        <w:t xml:space="preserve">We evaluate under three threat regimes, each representing a distinct real-world attack pattern:</w:t>
      </w:r>
    </w:p>
    <w:p>
      <w:pPr>
        <w:pStyle w:val="BodyText"/>
      </w:pPr>
      <w:r>
        <w:t xml:space="preserve">Regime 1 (Novel Family): Adversarial inputs from AdvBench [17] are injected into benign traffic starting at a designated onset cycle, ramping from 5% to 25% of cycle volume. This simulates a new attack family gradually appearing in production.</w:t>
      </w:r>
    </w:p>
    <w:p>
      <w:pPr>
        <w:pStyle w:val="BodyText"/>
      </w:pPr>
      <w:r>
        <w:t xml:space="preserve">Regime 2 (Coordinated Attack): A burst of 30 semantically similar jailbreak templates from a single community [11] is injected at the onset cycle, followed by a trickle for two additional cycles. This simulates a coordinated campaign where many near-duplicate attacks arrive simultaneously.</w:t>
      </w:r>
    </w:p>
    <w:p>
      <w:pPr>
        <w:pStyle w:val="BodyText"/>
      </w:pPr>
      <w:r>
        <w:t xml:space="preserve">Regime 3 (Slow Drift): Inputs from a single HarmBench [18] semantic category (cybercrime/intrusion) are injected at a rate of 1.5% of cycle volume per cycle starting at onset. This simulates the most challenging scenario: a slow, gradual infiltration that may not trigger statistical shift tests.</w:t>
      </w:r>
    </w:p>
    <w:p>
      <w:pPr>
        <w:pStyle w:val="Heading2"/>
      </w:pPr>
      <w:r>
        <w:t xml:space="preserve">Baselines</w:t>
      </w:r>
    </w:p>
    <w:p>
      <w:pPr>
        <w:pStyle w:val="BodyText"/>
      </w:pPr>
      <w:r>
        <w:t xml:space="preserve">We compare GuardLens against four baselines operating under the same per-cycle review budget:</w:t>
      </w:r>
    </w:p>
    <w:p>
      <w:pPr>
        <w:pStyle w:val="bulletlist"/>
      </w:pPr>
      <w:r>
        <w:t xml:space="preserve">Random Audit: Uniformly samples K items from approved traffic per cycle. Detects an attack if any sampled item is a ground-truth attack.</w:t>
      </w:r>
    </w:p>
    <w:p>
      <w:pPr>
        <w:pStyle w:val="bulletlist"/>
      </w:pPr>
      <w:r>
        <w:t xml:space="preserve">Stratified Random: Samples from the top-scoring fraction of approved items (closest to the blocking threshold), representing score-based triage.</w:t>
      </w:r>
    </w:p>
    <w:p>
      <w:pPr>
        <w:pStyle w:val="bulletlist"/>
      </w:pPr>
      <w:r>
        <w:t xml:space="preserve">MMD Drift: Applies a Maximum Mean Discrepancy two-sample test [8] with an RBF kernel and permutation-based p-value (alpha=0.05) between reference embeddings (first 3 cycles) and each subsequent cycle's embeddings.</w:t>
      </w:r>
    </w:p>
    <w:p>
      <w:pPr>
        <w:pStyle w:val="bulletlist"/>
      </w:pPr>
      <w:r>
        <w:t xml:space="preserve">One-Shot Clustering: Runs the same HDBSCAN clusterer on each cycle's approved traffic independently—no sliding window, no registry, no emergence score. Clusters are ranked by density alone. This isolates the contribution of temporal tracking.</w:t>
      </w:r>
    </w:p>
    <w:p>
      <w:pPr>
        <w:pStyle w:val="Heading2"/>
      </w:pPr>
      <w:r>
        <w:t xml:space="preserve">Metrics</w:t>
      </w:r>
    </w:p>
    <w:p>
      <w:pPr>
        <w:pStyle w:val="BodyText"/>
      </w:pPr>
      <w:r>
        <w:t xml:space="preserve">Detection Rate: Fraction of seeds where the method detects at least one attack cluster (purity ≥0.5) at any cycle. Detection Latency: Number of cycles between attack onset and first detection (lower is better). Cluster Purity: Fraction of items in the flagged cluster that are ground-truth attacks. Coverage: Fraction of all attacks in the window that fall inside flagged clusters with purity ≥0.5. All experiments are run with 5 random seeds.</w:t>
      </w:r>
    </w:p>
    <w:p>
      <w:pPr>
        <w:pStyle w:val="Heading1"/>
      </w:pPr>
      <w:r>
        <w:t xml:space="preserve">Results</w:t>
      </w:r>
    </w:p>
    <w:p>
      <w:pPr>
        <w:pStyle w:val="Heading2"/>
      </w:pPr>
      <w:r>
        <w:t xml:space="preserve">Cross-Regime Comparison</w:t>
      </w:r>
    </w:p>
    <w:p>
      <w:pPr>
        <w:pStyle w:val="tablehead"/>
      </w:pPr>
      <w:r>
        <w:t xml:space="preserve">Table I: Detection Rate and Median Latency Across Three Threat Regimes (5 Seeds)</w:t>
      </w:r>
    </w:p>
    <w:tbl>
      <w:tblPr>
        <w:tblStyle w:val="TableNormal"/>
        <w:tblW w:w="0" w:type="auto"/>
        <w:tblLook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shd w:val="clear" w:color="auto" w:fill="D9E2F3"/>
          </w:tcPr>
          <w:p>
            <w:pPr>
              <w:pStyle w:val="tablecolhead"/>
            </w:pPr>
            <w:r>
              <w:rPr>
                <w:b/>
              </w:rPr>
              <w:t xml:space="preserve">Method</w:t>
            </w:r>
          </w:p>
        </w:tc>
        <w:tc>
          <w:tcPr>
            <w:tcW w:w="0" w:type="auto"/>
            <w:shd w:val="clear" w:color="auto" w:fill="D9E2F3"/>
          </w:tcPr>
          <w:p>
            <w:pPr>
              <w:pStyle w:val="tablecolhead"/>
            </w:pPr>
            <w:r>
              <w:rPr>
                <w:b/>
              </w:rPr>
              <w:t xml:space="preserve">R1: Det.</w:t>
            </w:r>
          </w:p>
        </w:tc>
        <w:tc>
          <w:tcPr>
            <w:tcW w:w="0" w:type="auto"/>
            <w:shd w:val="clear" w:color="auto" w:fill="D9E2F3"/>
          </w:tcPr>
          <w:p>
            <w:pPr>
              <w:pStyle w:val="tablecolhead"/>
            </w:pPr>
            <w:r>
              <w:rPr>
                <w:b/>
              </w:rPr>
              <w:t xml:space="preserve">R1: Lat.</w:t>
            </w:r>
          </w:p>
        </w:tc>
        <w:tc>
          <w:tcPr>
            <w:tcW w:w="0" w:type="auto"/>
            <w:shd w:val="clear" w:color="auto" w:fill="D9E2F3"/>
          </w:tcPr>
          <w:p>
            <w:pPr>
              <w:pStyle w:val="tablecolhead"/>
            </w:pPr>
            <w:r>
              <w:rPr>
                <w:b/>
              </w:rPr>
              <w:t xml:space="preserve">R2: Det.</w:t>
            </w:r>
          </w:p>
        </w:tc>
        <w:tc>
          <w:tcPr>
            <w:tcW w:w="0" w:type="auto"/>
            <w:shd w:val="clear" w:color="auto" w:fill="D9E2F3"/>
          </w:tcPr>
          <w:p>
            <w:pPr>
              <w:pStyle w:val="tablecolhead"/>
            </w:pPr>
            <w:r>
              <w:rPr>
                <w:b/>
              </w:rPr>
              <w:t xml:space="preserve">R2: Lat.</w:t>
            </w:r>
          </w:p>
        </w:tc>
        <w:tc>
          <w:tcPr>
            <w:tcW w:w="0" w:type="auto"/>
            <w:shd w:val="clear" w:color="auto" w:fill="D9E2F3"/>
          </w:tcPr>
          <w:p>
            <w:pPr>
              <w:pStyle w:val="tablecolhead"/>
            </w:pPr>
            <w:r>
              <w:rPr>
                <w:b/>
              </w:rPr>
              <w:t xml:space="preserve">R3: Det.</w:t>
            </w:r>
          </w:p>
        </w:tc>
        <w:tc>
          <w:tcPr>
            <w:tcW w:w="0" w:type="auto"/>
            <w:shd w:val="clear" w:color="auto" w:fill="D9E2F3"/>
          </w:tcPr>
          <w:p>
            <w:pPr>
              <w:pStyle w:val="tablecolhead"/>
            </w:pPr>
            <w:r>
              <w:rPr>
                <w:b/>
              </w:rPr>
              <w:t xml:space="preserve">R3: Lat.</w:t>
            </w:r>
          </w:p>
        </w:tc>
      </w:tr>
      <w:tr>
        <w:tc>
          <w:tcPr>
            <w:tcW w:w="0" w:type="auto"/>
          </w:tcPr>
          <w:p>
            <w:pPr>
              <w:pStyle w:val="tablecopy"/>
            </w:pPr>
            <w:r>
              <w:t xml:space="preserve">GuardLens</w:t>
            </w:r>
          </w:p>
        </w:tc>
        <w:tc>
          <w:tcPr>
            <w:tcW w:w="0" w:type="auto"/>
          </w:tcPr>
          <w:p>
            <w:pPr>
              <w:pStyle w:val="tablecopy"/>
            </w:pPr>
            <w:r>
              <w:t xml:space="preserve">100%</w:t>
            </w:r>
          </w:p>
        </w:tc>
        <w:tc>
          <w:tcPr>
            <w:tcW w:w="0" w:type="auto"/>
          </w:tcPr>
          <w:p>
            <w:pPr>
              <w:pStyle w:val="tablecopy"/>
            </w:pPr>
            <w:r>
              <w:t xml:space="preserve">1.0</w:t>
            </w:r>
          </w:p>
        </w:tc>
        <w:tc>
          <w:tcPr>
            <w:tcW w:w="0" w:type="auto"/>
          </w:tcPr>
          <w:p>
            <w:pPr>
              <w:pStyle w:val="tablecopy"/>
            </w:pPr>
            <w:r>
              <w:t xml:space="preserve">100%</w:t>
            </w:r>
          </w:p>
        </w:tc>
        <w:tc>
          <w:tcPr>
            <w:tcW w:w="0" w:type="auto"/>
          </w:tcPr>
          <w:p>
            <w:pPr>
              <w:pStyle w:val="tablecopy"/>
            </w:pPr>
            <w:r>
              <w:t xml:space="preserve">0.0</w:t>
            </w:r>
          </w:p>
        </w:tc>
        <w:tc>
          <w:tcPr>
            <w:tcW w:w="0" w:type="auto"/>
          </w:tcPr>
          <w:p>
            <w:pPr>
              <w:pStyle w:val="tablecopy"/>
            </w:pPr>
            <w:r>
              <w:t xml:space="preserve">100%</w:t>
            </w:r>
          </w:p>
        </w:tc>
        <w:tc>
          <w:tcPr>
            <w:tcW w:w="0" w:type="auto"/>
          </w:tcPr>
          <w:p>
            <w:pPr>
              <w:pStyle w:val="tablecopy"/>
            </w:pPr>
            <w:r>
              <w:t xml:space="preserve">2.0</w:t>
            </w:r>
          </w:p>
        </w:tc>
      </w:tr>
      <w:tr>
        <w:tc>
          <w:tcPr>
            <w:tcW w:w="0" w:type="auto"/>
          </w:tcPr>
          <w:p>
            <w:pPr>
              <w:pStyle w:val="tablecopy"/>
            </w:pPr>
            <w:r>
              <w:t xml:space="preserve">Random Audit</w:t>
            </w:r>
          </w:p>
        </w:tc>
        <w:tc>
          <w:tcPr>
            <w:tcW w:w="0" w:type="auto"/>
          </w:tcPr>
          <w:p>
            <w:pPr>
              <w:pStyle w:val="tablecopy"/>
            </w:pPr>
            <w:r>
              <w:t xml:space="preserve">100%</w:t>
            </w:r>
          </w:p>
        </w:tc>
        <w:tc>
          <w:tcPr>
            <w:tcW w:w="0" w:type="auto"/>
          </w:tcPr>
          <w:p>
            <w:pPr>
              <w:pStyle w:val="tablecopy"/>
            </w:pPr>
            <w:r>
              <w:t xml:space="preserve">2.0</w:t>
            </w:r>
          </w:p>
        </w:tc>
        <w:tc>
          <w:tcPr>
            <w:tcW w:w="0" w:type="auto"/>
          </w:tcPr>
          <w:p>
            <w:pPr>
              <w:pStyle w:val="tablecopy"/>
            </w:pPr>
            <w:r>
              <w:t xml:space="preserve">0%</w:t>
            </w:r>
          </w:p>
        </w:tc>
        <w:tc>
          <w:tcPr>
            <w:tcW w:w="0" w:type="auto"/>
          </w:tcPr>
          <w:p>
            <w:pPr>
              <w:pStyle w:val="tablecopy"/>
            </w:pPr>
            <w:r>
              <w:t xml:space="preserve">—</w:t>
            </w:r>
          </w:p>
        </w:tc>
        <w:tc>
          <w:tcPr>
            <w:tcW w:w="0" w:type="auto"/>
          </w:tcPr>
          <w:p>
            <w:pPr>
              <w:pStyle w:val="tablecopy"/>
            </w:pPr>
            <w:r>
              <w:t xml:space="preserve">100%</w:t>
            </w:r>
          </w:p>
        </w:tc>
        <w:tc>
          <w:tcPr>
            <w:tcW w:w="0" w:type="auto"/>
          </w:tcPr>
          <w:p>
            <w:pPr>
              <w:pStyle w:val="tablecopy"/>
            </w:pPr>
            <w:r>
              <w:t xml:space="preserve">2.0</w:t>
            </w:r>
          </w:p>
        </w:tc>
      </w:tr>
      <w:tr>
        <w:tc>
          <w:tcPr>
            <w:tcW w:w="0" w:type="auto"/>
          </w:tcPr>
          <w:p>
            <w:pPr>
              <w:pStyle w:val="tablecopy"/>
            </w:pPr>
            <w:r>
              <w:t xml:space="preserve">Strat. Random</w:t>
            </w:r>
          </w:p>
        </w:tc>
        <w:tc>
          <w:tcPr>
            <w:tcW w:w="0" w:type="auto"/>
          </w:tcPr>
          <w:p>
            <w:pPr>
              <w:pStyle w:val="tablecopy"/>
            </w:pPr>
            <w:r>
              <w:t xml:space="preserve">0%</w:t>
            </w:r>
          </w:p>
        </w:tc>
        <w:tc>
          <w:tcPr>
            <w:tcW w:w="0" w:type="auto"/>
          </w:tcPr>
          <w:p>
            <w:pPr>
              <w:pStyle w:val="tablecopy"/>
            </w:pPr>
            <w:r>
              <w:t xml:space="preserve">—</w:t>
            </w:r>
          </w:p>
        </w:tc>
        <w:tc>
          <w:tcPr>
            <w:tcW w:w="0" w:type="auto"/>
          </w:tcPr>
          <w:p>
            <w:pPr>
              <w:pStyle w:val="tablecopy"/>
            </w:pPr>
            <w:r>
              <w:t xml:space="preserve">100%</w:t>
            </w:r>
          </w:p>
        </w:tc>
        <w:tc>
          <w:tcPr>
            <w:tcW w:w="0" w:type="auto"/>
          </w:tcPr>
          <w:p>
            <w:pPr>
              <w:pStyle w:val="tablecopy"/>
            </w:pPr>
            <w:r>
              <w:t xml:space="preserve">0.0</w:t>
            </w:r>
          </w:p>
        </w:tc>
        <w:tc>
          <w:tcPr>
            <w:tcW w:w="0" w:type="auto"/>
          </w:tcPr>
          <w:p>
            <w:pPr>
              <w:pStyle w:val="tablecopy"/>
            </w:pPr>
            <w:r>
              <w:t xml:space="preserve">0%</w:t>
            </w:r>
          </w:p>
        </w:tc>
        <w:tc>
          <w:tcPr>
            <w:tcW w:w="0" w:type="auto"/>
          </w:tcPr>
          <w:p>
            <w:pPr>
              <w:pStyle w:val="tablecopy"/>
            </w:pPr>
            <w:r>
              <w:t xml:space="preserve">—</w:t>
            </w:r>
          </w:p>
        </w:tc>
      </w:tr>
      <w:tr>
        <w:tc>
          <w:tcPr>
            <w:tcW w:w="0" w:type="auto"/>
          </w:tcPr>
          <w:p>
            <w:pPr>
              <w:pStyle w:val="tablecopy"/>
            </w:pPr>
            <w:r>
              <w:t xml:space="preserve">MMD Drift</w:t>
            </w:r>
          </w:p>
        </w:tc>
        <w:tc>
          <w:tcPr>
            <w:tcW w:w="0" w:type="auto"/>
          </w:tcPr>
          <w:p>
            <w:pPr>
              <w:pStyle w:val="tablecopy"/>
            </w:pPr>
            <w:r>
              <w:t xml:space="preserve">100%</w:t>
            </w:r>
          </w:p>
        </w:tc>
        <w:tc>
          <w:tcPr>
            <w:tcW w:w="0" w:type="auto"/>
          </w:tcPr>
          <w:p>
            <w:pPr>
              <w:pStyle w:val="tablecopy"/>
            </w:pPr>
            <w:r>
              <w:t xml:space="preserve">1.0</w:t>
            </w:r>
          </w:p>
        </w:tc>
        <w:tc>
          <w:tcPr>
            <w:tcW w:w="0" w:type="auto"/>
          </w:tcPr>
          <w:p>
            <w:pPr>
              <w:pStyle w:val="tablecopy"/>
            </w:pPr>
            <w:r>
              <w:t xml:space="preserve">100%</w:t>
            </w:r>
          </w:p>
        </w:tc>
        <w:tc>
          <w:tcPr>
            <w:tcW w:w="0" w:type="auto"/>
          </w:tcPr>
          <w:p>
            <w:pPr>
              <w:pStyle w:val="tablecopy"/>
            </w:pPr>
            <w:r>
              <w:t xml:space="preserve">0.0</w:t>
            </w:r>
          </w:p>
        </w:tc>
        <w:tc>
          <w:tcPr>
            <w:tcW w:w="0" w:type="auto"/>
          </w:tcPr>
          <w:p>
            <w:pPr>
              <w:pStyle w:val="tablecopy"/>
            </w:pPr>
            <w:r>
              <w:t xml:space="preserve">80%</w:t>
            </w:r>
          </w:p>
        </w:tc>
        <w:tc>
          <w:tcPr>
            <w:tcW w:w="0" w:type="auto"/>
          </w:tcPr>
          <w:p>
            <w:pPr>
              <w:pStyle w:val="tablecopy"/>
            </w:pPr>
            <w:r>
              <w:t xml:space="preserve">4.5</w:t>
            </w:r>
          </w:p>
        </w:tc>
      </w:tr>
      <w:tr>
        <w:tc>
          <w:tcPr>
            <w:tcW w:w="0" w:type="auto"/>
          </w:tcPr>
          <w:p>
            <w:pPr>
              <w:pStyle w:val="tablecopy"/>
            </w:pPr>
            <w:r>
              <w:t xml:space="preserve">One-Shot Clust.</w:t>
            </w:r>
          </w:p>
        </w:tc>
        <w:tc>
          <w:tcPr>
            <w:tcW w:w="0" w:type="auto"/>
          </w:tcPr>
          <w:p>
            <w:pPr>
              <w:pStyle w:val="tablecopy"/>
            </w:pPr>
            <w:r>
              <w:t xml:space="preserve">100%</w:t>
            </w:r>
          </w:p>
        </w:tc>
        <w:tc>
          <w:tcPr>
            <w:tcW w:w="0" w:type="auto"/>
          </w:tcPr>
          <w:p>
            <w:pPr>
              <w:pStyle w:val="tablecopy"/>
            </w:pPr>
            <w:r>
              <w:t xml:space="preserve">2.0</w:t>
            </w:r>
          </w:p>
        </w:tc>
        <w:tc>
          <w:tcPr>
            <w:tcW w:w="0" w:type="auto"/>
          </w:tcPr>
          <w:p>
            <w:pPr>
              <w:pStyle w:val="tablecopy"/>
            </w:pPr>
            <w:r>
              <w:t xml:space="preserve">100%</w:t>
            </w:r>
          </w:p>
        </w:tc>
        <w:tc>
          <w:tcPr>
            <w:tcW w:w="0" w:type="auto"/>
          </w:tcPr>
          <w:p>
            <w:pPr>
              <w:pStyle w:val="tablecopy"/>
            </w:pPr>
            <w:r>
              <w:t xml:space="preserve">0.0</w:t>
            </w:r>
          </w:p>
        </w:tc>
        <w:tc>
          <w:tcPr>
            <w:tcW w:w="0" w:type="auto"/>
          </w:tcPr>
          <w:p>
            <w:pPr>
              <w:pStyle w:val="tablecopy"/>
            </w:pPr>
            <w:r>
              <w:t xml:space="preserve">100%</w:t>
            </w:r>
          </w:p>
        </w:tc>
        <w:tc>
          <w:tcPr>
            <w:tcW w:w="0" w:type="auto"/>
          </w:tcPr>
          <w:p>
            <w:pPr>
              <w:pStyle w:val="tablecopy"/>
            </w:pPr>
            <w:r>
              <w:t xml:space="preserve">5.0</w:t>
            </w:r>
          </w:p>
        </w:tc>
      </w:tr>
    </w:tbl>
    <w:p>
      <w:pPr>
        <w:pStyle w:val="BodyText"/>
      </w:pPr>
    </w:p>
    <w:p>
      <w:pPr>
        <w:pStyle w:val="BodyText"/>
      </w:pPr>
      <w:r>
        <w:t xml:space="preserve">Table I presents the main results. GuardLens is the only method that achieves 100% detection across all three regimes. Each baseline fails in at least one scenario:</w:t>
      </w:r>
    </w:p>
    <w:p>
      <w:pPr>
        <w:pStyle w:val="BodyText"/>
      </w:pPr>
      <w:r>
        <w:t xml:space="preserve">Stratified Random achieves 0% detection in Regimes 1 and 3. This is a structural failure: the DeBERTa classifier assigns very low scores to the attack items that pass through (mean score 0.056 for AdvBench items vs. 0.420 for benign traffic). Score-based triage examines items near the threshold, but the actual blind spot is in the confidently-approved zone. This finding challenges the intuition that borderline-score items are the most dangerous.</w:t>
      </w:r>
    </w:p>
    <w:p>
      <w:pPr>
        <w:pStyle w:val="BodyText"/>
      </w:pPr>
      <w:r>
        <w:t xml:space="preserve">Random Audit achieves 0% detection in Regime 2. Under a budget of K=3 samples per cycle from ~140 approved items, the probability of sampling an attack item is too low for consistent detection. MMD Drift drops to 80% detection in Regime 3 with a median latency of 4.5 cycles. The slow drift (1.5% per cycle) produces distributional shifts below the permutation test's sensitivity.</w:t>
      </w:r>
    </w:p>
    <w:p>
      <w:pPr>
        <w:pStyle w:val="BodyText"/>
      </w:pPr>
      <w:r>
        <w:t xml:space="preserve">One-Shot Clustering achieves 100% detection but with substantially higher latency than GuardLens in Regimes 1 and 3 (median 2.0 and 5.0 vs. 1.0 and 2.0). In Regime 3, the 3-cycle latency gap (5.0 vs. 2.0) demonstrates that temporal tracking—accumulating evidence across a sliding window and using novelty to prioritize unfamiliar clusters—provides a measurable advantage over static per-cycle clustering.</w:t>
      </w:r>
    </w:p>
    <w:p>
      <w:pPr>
        <w:pStyle w:val="tablehead"/>
      </w:pPr>
      <w:r>
        <w:t xml:space="preserve">Table II: GuardLens Cluster Quality at Detection</w:t>
      </w:r>
    </w:p>
    <w:tbl>
      <w:tblPr>
        <w:tblStyle w:val="TableNormal"/>
        <w:tblW w:w="0" w:type="auto"/>
        <w:tblLook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shd w:val="clear" w:color="auto" w:fill="D9E2F3"/>
          </w:tcPr>
          <w:p>
            <w:pPr>
              <w:pStyle w:val="tablecolhead"/>
            </w:pPr>
            <w:r>
              <w:rPr>
                <w:b/>
              </w:rPr>
              <w:t xml:space="preserve">Regime</w:t>
            </w:r>
          </w:p>
        </w:tc>
        <w:tc>
          <w:tcPr>
            <w:tcW w:w="0" w:type="auto"/>
            <w:shd w:val="clear" w:color="auto" w:fill="D9E2F3"/>
          </w:tcPr>
          <w:p>
            <w:pPr>
              <w:pStyle w:val="tablecolhead"/>
            </w:pPr>
            <w:r>
              <w:rPr>
                <w:b/>
              </w:rPr>
              <w:t xml:space="preserve">Mean Purity</w:t>
            </w:r>
          </w:p>
        </w:tc>
        <w:tc>
          <w:tcPr>
            <w:tcW w:w="0" w:type="auto"/>
            <w:shd w:val="clear" w:color="auto" w:fill="D9E2F3"/>
          </w:tcPr>
          <w:p>
            <w:pPr>
              <w:pStyle w:val="tablecolhead"/>
            </w:pPr>
            <w:r>
              <w:rPr>
                <w:b/>
              </w:rPr>
              <w:t xml:space="preserve">Mean Coverage</w:t>
            </w:r>
          </w:p>
        </w:tc>
      </w:tr>
      <w:tr>
        <w:tc>
          <w:tcPr>
            <w:tcW w:w="0" w:type="auto"/>
          </w:tcPr>
          <w:p>
            <w:pPr>
              <w:pStyle w:val="tablecopy"/>
            </w:pPr>
            <w:r>
              <w:t xml:space="preserve">R1: Novel Family</w:t>
            </w:r>
          </w:p>
        </w:tc>
        <w:tc>
          <w:tcPr>
            <w:tcW w:w="0" w:type="auto"/>
          </w:tcPr>
          <w:p>
            <w:pPr>
              <w:pStyle w:val="tablecopy"/>
            </w:pPr>
            <w:r>
              <w:t xml:space="preserve">0.89</w:t>
            </w:r>
          </w:p>
        </w:tc>
        <w:tc>
          <w:tcPr>
            <w:tcW w:w="0" w:type="auto"/>
          </w:tcPr>
          <w:p>
            <w:pPr>
              <w:pStyle w:val="tablecopy"/>
            </w:pPr>
            <w:r>
              <w:t xml:space="preserve">0.33</w:t>
            </w:r>
          </w:p>
        </w:tc>
      </w:tr>
      <w:tr>
        <w:tc>
          <w:tcPr>
            <w:tcW w:w="0" w:type="auto"/>
          </w:tcPr>
          <w:p>
            <w:pPr>
              <w:pStyle w:val="tablecopy"/>
            </w:pPr>
            <w:r>
              <w:t xml:space="preserve">R2: Coordinated Attack</w:t>
            </w:r>
          </w:p>
        </w:tc>
        <w:tc>
          <w:tcPr>
            <w:tcW w:w="0" w:type="auto"/>
          </w:tcPr>
          <w:p>
            <w:pPr>
              <w:pStyle w:val="tablecopy"/>
            </w:pPr>
            <w:r>
              <w:t xml:space="preserve">0.86</w:t>
            </w:r>
          </w:p>
        </w:tc>
        <w:tc>
          <w:tcPr>
            <w:tcW w:w="0" w:type="auto"/>
          </w:tcPr>
          <w:p>
            <w:pPr>
              <w:pStyle w:val="tablecopy"/>
            </w:pPr>
            <w:r>
              <w:t xml:space="preserve">0.80</w:t>
            </w:r>
          </w:p>
        </w:tc>
      </w:tr>
      <w:tr>
        <w:tc>
          <w:tcPr>
            <w:tcW w:w="0" w:type="auto"/>
          </w:tcPr>
          <w:p>
            <w:pPr>
              <w:pStyle w:val="tablecopy"/>
            </w:pPr>
            <w:r>
              <w:t xml:space="preserve">R3: Slow Drift</w:t>
            </w:r>
          </w:p>
        </w:tc>
        <w:tc>
          <w:tcPr>
            <w:tcW w:w="0" w:type="auto"/>
          </w:tcPr>
          <w:p>
            <w:pPr>
              <w:pStyle w:val="tablecopy"/>
            </w:pPr>
            <w:r>
              <w:t xml:space="preserve">1.00</w:t>
            </w:r>
          </w:p>
        </w:tc>
        <w:tc>
          <w:tcPr>
            <w:tcW w:w="0" w:type="auto"/>
          </w:tcPr>
          <w:p>
            <w:pPr>
              <w:pStyle w:val="tablecopy"/>
            </w:pPr>
            <w:r>
              <w:t xml:space="preserve">0.51</w:t>
            </w:r>
          </w:p>
        </w:tc>
      </w:tr>
    </w:tbl>
    <w:p>
      <w:pPr>
        <w:pStyle w:val="BodyText"/>
      </w:pPr>
    </w:p>
    <w:p>
      <w:pPr>
        <w:pStyle w:val="BodyText"/>
      </w:pPr>
      <w:r>
        <w:t xml:space="preserve">Table II shows the quality of the clusters GuardLens surfaces at the point of first detection. Purity is consistently high (0.86–1.00), meaning the flagged clusters are predominantly composed of attack items, making analyst review efficient. Coverage is highest in Regime 2 (0.80) where the coordinated burst creates a single dense cluster, and lower in Regime 1 (0.33) where attacks are more diverse and spread across multiple clusters.</w:t>
      </w:r>
    </w:p>
    <w:p>
      <w:pPr>
        <w:pStyle w:val="Heading2"/>
      </w:pPr>
      <w:r>
        <w:t xml:space="preserve">Ablation Study</w:t>
      </w:r>
    </w:p>
    <w:p>
      <w:pPr>
        <w:pStyle w:val="BodyText"/>
      </w:pPr>
      <w:r>
        <w:t xml:space="preserve">To determine which component of the Emergence Score drives detection performance, we perform a leave-one-out ablation at K=1 (forcing rank-1 selection to be the sole determinant). Results are shown in Table III.</w:t>
      </w:r>
    </w:p>
    <w:p>
      <w:pPr>
        <w:pStyle w:val="tablehead"/>
      </w:pPr>
      <w:r>
        <w:t xml:space="preserve">Table III: Ablation of Emergence Score Components (K=1, 3 Seeds)</w:t>
      </w:r>
    </w:p>
    <w:tbl>
      <w:tblPr>
        <w:tblStyle w:val="TableNormal"/>
        <w:tblW w:w="0" w:type="auto"/>
        <w:tblLook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shd w:val="clear" w:color="auto" w:fill="D9E2F3"/>
          </w:tcPr>
          <w:p>
            <w:pPr>
              <w:pStyle w:val="tablecolhead"/>
            </w:pPr>
            <w:r>
              <w:rPr>
                <w:b/>
              </w:rPr>
              <w:t xml:space="preserve">Ablation</w:t>
            </w:r>
          </w:p>
        </w:tc>
        <w:tc>
          <w:tcPr>
            <w:tcW w:w="0" w:type="auto"/>
            <w:shd w:val="clear" w:color="auto" w:fill="D9E2F3"/>
          </w:tcPr>
          <w:p>
            <w:pPr>
              <w:pStyle w:val="tablecolhead"/>
            </w:pPr>
            <w:r>
              <w:rPr>
                <w:b/>
              </w:rPr>
              <w:t xml:space="preserve">R1: Lat.</w:t>
            </w:r>
          </w:p>
        </w:tc>
        <w:tc>
          <w:tcPr>
            <w:tcW w:w="0" w:type="auto"/>
            <w:shd w:val="clear" w:color="auto" w:fill="D9E2F3"/>
          </w:tcPr>
          <w:p>
            <w:pPr>
              <w:pStyle w:val="tablecolhead"/>
            </w:pPr>
            <w:r>
              <w:rPr>
                <w:b/>
              </w:rPr>
              <w:t xml:space="preserve">R3: Lat.</w:t>
            </w:r>
          </w:p>
        </w:tc>
        <w:tc>
          <w:tcPr>
            <w:tcW w:w="0" w:type="auto"/>
            <w:shd w:val="clear" w:color="auto" w:fill="D9E2F3"/>
          </w:tcPr>
          <w:p>
            <w:pPr>
              <w:pStyle w:val="tablecolhead"/>
            </w:pPr>
            <w:r>
              <w:rPr>
                <w:b/>
              </w:rPr>
              <w:t xml:space="preserve">R3: Cov.</w:t>
            </w:r>
          </w:p>
        </w:tc>
      </w:tr>
      <w:tr>
        <w:tc>
          <w:tcPr>
            <w:tcW w:w="0" w:type="auto"/>
          </w:tcPr>
          <w:p>
            <w:pPr>
              <w:pStyle w:val="tablecopy"/>
            </w:pPr>
            <w:r>
              <w:t xml:space="preserve">Full model</w:t>
            </w:r>
          </w:p>
        </w:tc>
        <w:tc>
          <w:tcPr>
            <w:tcW w:w="0" w:type="auto"/>
          </w:tcPr>
          <w:p>
            <w:pPr>
              <w:pStyle w:val="tablecopy"/>
            </w:pPr>
            <w:r>
              <w:t xml:space="preserve">1.0</w:t>
            </w:r>
          </w:p>
        </w:tc>
        <w:tc>
          <w:tcPr>
            <w:tcW w:w="0" w:type="auto"/>
          </w:tcPr>
          <w:p>
            <w:pPr>
              <w:pStyle w:val="tablecopy"/>
            </w:pPr>
            <w:r>
              <w:t xml:space="preserve">3.0</w:t>
            </w:r>
          </w:p>
        </w:tc>
        <w:tc>
          <w:tcPr>
            <w:tcW w:w="0" w:type="auto"/>
          </w:tcPr>
          <w:p>
            <w:pPr>
              <w:pStyle w:val="tablecopy"/>
            </w:pPr>
            <w:r>
              <w:t xml:space="preserve">0.49</w:t>
            </w:r>
          </w:p>
        </w:tc>
      </w:tr>
      <w:tr>
        <w:tc>
          <w:tcPr>
            <w:tcW w:w="0" w:type="auto"/>
          </w:tcPr>
          <w:p>
            <w:pPr>
              <w:pStyle w:val="tablecopy"/>
            </w:pPr>
            <w:r>
              <w:t xml:space="preserve">No density</w:t>
            </w:r>
          </w:p>
        </w:tc>
        <w:tc>
          <w:tcPr>
            <w:tcW w:w="0" w:type="auto"/>
          </w:tcPr>
          <w:p>
            <w:pPr>
              <w:pStyle w:val="tablecopy"/>
            </w:pPr>
            <w:r>
              <w:t xml:space="preserve">1.0</w:t>
            </w:r>
          </w:p>
        </w:tc>
        <w:tc>
          <w:tcPr>
            <w:tcW w:w="0" w:type="auto"/>
          </w:tcPr>
          <w:p>
            <w:pPr>
              <w:pStyle w:val="tablecopy"/>
            </w:pPr>
            <w:r>
              <w:t xml:space="preserve">3.0</w:t>
            </w:r>
          </w:p>
        </w:tc>
        <w:tc>
          <w:tcPr>
            <w:tcW w:w="0" w:type="auto"/>
          </w:tcPr>
          <w:p>
            <w:pPr>
              <w:pStyle w:val="tablecopy"/>
            </w:pPr>
            <w:r>
              <w:t xml:space="preserve">0.49</w:t>
            </w:r>
          </w:p>
        </w:tc>
      </w:tr>
      <w:tr>
        <w:tc>
          <w:tcPr>
            <w:tcW w:w="0" w:type="auto"/>
          </w:tcPr>
          <w:p>
            <w:pPr>
              <w:pStyle w:val="tablecopy"/>
            </w:pPr>
            <w:r>
              <w:t xml:space="preserve">No growth</w:t>
            </w:r>
          </w:p>
        </w:tc>
        <w:tc>
          <w:tcPr>
            <w:tcW w:w="0" w:type="auto"/>
          </w:tcPr>
          <w:p>
            <w:pPr>
              <w:pStyle w:val="tablecopy"/>
            </w:pPr>
            <w:r>
              <w:t xml:space="preserve">1.0</w:t>
            </w:r>
          </w:p>
        </w:tc>
        <w:tc>
          <w:tcPr>
            <w:tcW w:w="0" w:type="auto"/>
          </w:tcPr>
          <w:p>
            <w:pPr>
              <w:pStyle w:val="tablecopy"/>
            </w:pPr>
            <w:r>
              <w:t xml:space="preserve">3.0</w:t>
            </w:r>
          </w:p>
        </w:tc>
        <w:tc>
          <w:tcPr>
            <w:tcW w:w="0" w:type="auto"/>
          </w:tcPr>
          <w:p>
            <w:pPr>
              <w:pStyle w:val="tablecopy"/>
            </w:pPr>
            <w:r>
              <w:t xml:space="preserve">0.49</w:t>
            </w:r>
          </w:p>
        </w:tc>
      </w:tr>
      <w:tr>
        <w:tc>
          <w:tcPr>
            <w:tcW w:w="0" w:type="auto"/>
          </w:tcPr>
          <w:p>
            <w:pPr>
              <w:pStyle w:val="tablecopy"/>
            </w:pPr>
            <w:r>
              <w:t xml:space="preserve">No novelty</w:t>
            </w:r>
          </w:p>
        </w:tc>
        <w:tc>
          <w:tcPr>
            <w:tcW w:w="0" w:type="auto"/>
          </w:tcPr>
          <w:p>
            <w:pPr>
              <w:pStyle w:val="tablecopy"/>
            </w:pPr>
            <w:r>
              <w:t xml:space="preserve">2.0</w:t>
            </w:r>
          </w:p>
        </w:tc>
        <w:tc>
          <w:tcPr>
            <w:tcW w:w="0" w:type="auto"/>
          </w:tcPr>
          <w:p>
            <w:pPr>
              <w:pStyle w:val="tablecopy"/>
            </w:pPr>
            <w:r>
              <w:t xml:space="preserve">5.0</w:t>
            </w:r>
          </w:p>
        </w:tc>
        <w:tc>
          <w:tcPr>
            <w:tcW w:w="0" w:type="auto"/>
          </w:tcPr>
          <w:p>
            <w:pPr>
              <w:pStyle w:val="tablecopy"/>
            </w:pPr>
            <w:r>
              <w:t xml:space="preserve">0.23</w:t>
            </w:r>
          </w:p>
        </w:tc>
      </w:tr>
    </w:tbl>
    <w:p>
      <w:pPr>
        <w:pStyle w:val="BodyText"/>
      </w:pPr>
    </w:p>
    <w:p>
      <w:pPr>
        <w:pStyle w:val="BodyText"/>
      </w:pPr>
      <w:r>
        <w:t xml:space="preserve">Removing the novelty component consistently degrades performance: latency increases from 1.0 to 2.0 cycles in Regime 1 and from 3.0 to 5.0 cycles in Regime 3, while coverage drops from 0.49 to 0.23 in Regime 3. Removing density or growth has no measurable effect. This demonstrates that novelty—distinguishing a cluster from recent history—is the load-bearing term in the Emergence Score. This is consistent with the system's operating context: behind an already-good classifier, density and growth differences between approved-traffic clusters are small, but novelty directly captures the signal that a cluster represents something the system has not seen before.</w:t>
      </w:r>
    </w:p>
    <w:p>
      <w:pPr>
        <w:pStyle w:val="Heading2"/>
      </w:pPr>
      <w:r>
        <w:t xml:space="preserve">Sensitivity Analysis</w:t>
      </w:r>
    </w:p>
    <w:p>
      <w:pPr>
        <w:pStyle w:val="BodyText"/>
      </w:pPr>
      <w:r>
        <w:t xml:space="preserve">We vary three hyperparameters one at a time across all regimes (3 seeds each). GuardLens achieves 100% detection at all tested settings except min_cluster_size=8, which increases latency by 1 cycle in Regimes 1 and 3 (from 1.0 to 2.0 and 3.0 to 4.0, respectively). Detection is invariant to window_size (tested at 2, 3, 5) and top_k (tested at 3, 5, 10). The min_cluster_size parameter controls a precision–latency tradeoff: a stricter threshold (8) requires more attack items to accumulate before forming a cluster, delaying detection by one cycle but maintaining high purity. A looser threshold (3) preserves low latency but reduces purity (0.89 vs. 0.98 in Regime 1) as clusters absorb more noise.</w:t>
      </w:r>
    </w:p>
    <w:p>
      <w:pPr>
        <w:pStyle w:val="Heading1"/>
      </w:pPr>
      <w:r>
        <w:t xml:space="preserve">Discussion</w:t>
      </w:r>
    </w:p>
    <w:p>
      <w:pPr>
        <w:pStyle w:val="BodyText"/>
      </w:pPr>
      <w:r>
        <w:t xml:space="preserve">The experimental results support the thesis that temporal emergence detection provides a meaningful advantage over both static auditing and one-shot clustering for identifying guardrail blind spots. The advantage is most pronounced in the slow drift regime, which represents the most realistic and challenging threat model: attackers who gradually introduce novel content rather than launching an obvious burst.</w:t>
      </w:r>
    </w:p>
    <w:p>
      <w:pPr>
        <w:pStyle w:val="BodyText"/>
      </w:pPr>
      <w:r>
        <w:t xml:space="preserve">The structural failure of stratified random sampling (0% detection in two of three regimes) has practical implications. Many deployed monitoring systems prioritize reviewing items near the decision boundary, under the assumption that borderline scores indicate the highest risk. Our results show that the true blind spot may lie in the confidently-approved zone—items that the classifier dismisses with high confidence precisely because they fall outside its training distribution. This argues for content-based monitoring (clustering what was approved) rather than score-based monitoring (reviewing what nearly got blocked).</w:t>
      </w:r>
    </w:p>
    <w:p>
      <w:pPr>
        <w:pStyle w:val="BodyText"/>
      </w:pPr>
      <w:r>
        <w:t xml:space="preserve">The ablation finding that novelty is the primary driver of the Emergence Score's effectiveness has design implications. In deployment, operators should prioritize the historical centroid memory (which enables novelty computation) over fine-tuning density or growth parameters. The novelty signal is what distinguishes GuardLens from a simple periodic clustering tool.</w:t>
      </w:r>
    </w:p>
    <w:p>
      <w:pPr>
        <w:pStyle w:val="Heading2"/>
      </w:pPr>
      <w:r>
        <w:t xml:space="preserve">Limitations</w:t>
      </w:r>
    </w:p>
    <w:p>
      <w:pPr>
        <w:pStyle w:val="BodyText"/>
      </w:pPr>
      <w:r>
        <w:t xml:space="preserve">Our evaluation uses a single guardrail (DeBERTa injection classifier) and sentence-level embeddings. Different classifiers may produce different blind-spot patterns, and multi-turn attack strategies are not covered by our single-turn threat model. The traffic volumes in our experiments (150–200 items per cycle) are smaller than production scale; scaling behavior with thousands of items per cycle remains to be validated. Finally, our density and growth ablation showed no effect at the tested scale, but these components may become important under higher-volume settings where HDBSCAN produces more clusters and ranking competition increases.</w:t>
      </w:r>
    </w:p>
    <w:p>
      <w:pPr>
        <w:pStyle w:val="Heading1"/>
      </w:pPr>
      <w:r>
        <w:t xml:space="preserve">Conclusion</w:t>
      </w:r>
    </w:p>
    <w:p>
      <w:pPr>
        <w:pStyle w:val="BodyText"/>
      </w:pPr>
      <w:r>
        <w:t xml:space="preserve">We presented GuardLens, a temporal monitoring system for detecting emerging safety blind spots in LLM deployments. By tracking cluster persistence across monitoring cycles and ranking clusters by an Emergence Score that integrates density, growth, and novelty, GuardLens achieves 100% detection across three threat regimes where no single baseline matches this consistency. The system requires no access to classifier internals, introduces no inference-time latency, and operates within a bounded analyst review budget of K clusters per cycle. Ablation analysis demonstrates that novelty against historical centroids is the primary driver of early detection. Future work will extend GuardLens to multi-turn conversation monitoring, evaluate at production traffic volumes, and explore growth-based forecasting for proactive alerting before a cluster reaches critical mass.</w:t>
      </w:r>
    </w:p>
    <w:p>
      <w:pPr>
        <w:pStyle w:val="Heading5"/>
      </w:pPr>
      <w:r>
        <w:t xml:space="preserve">References</w:t>
      </w:r>
    </w:p>
    <w:p>
      <w:pPr>
        <w:pStyle w:val="references"/>
      </w:pPr>
      <w:r>
        <w:t xml:space="preserve">[1] I. Inan et al., "Llama Guard: LLM-based input-output safeguard for human-AI conversations," arXiv:2312.06674, 2023.</w:t>
      </w:r>
    </w:p>
    <w:p>
      <w:pPr>
        <w:pStyle w:val="references"/>
      </w:pPr>
      <w:r>
        <w:t xml:space="preserve">[2] E. Perez et al., "Red teaming language models with language models," in Proc. EMNLP, 2022, pp. 3419–3448.</w:t>
      </w:r>
    </w:p>
    <w:p>
      <w:pPr>
        <w:pStyle w:val="references"/>
      </w:pPr>
      <w:r>
        <w:t xml:space="preserve">[3] I. Inan et al., "Llama Guard 3: System-level safety for LLM deployments," Meta AI, Tech. Rep., 2024.</w:t>
      </w:r>
    </w:p>
    <w:p>
      <w:pPr>
        <w:pStyle w:val="references"/>
      </w:pPr>
      <w:r>
        <w:t xml:space="preserve">[4] S. Han et al., "WildGuard: Open one-stop moderation tools for safety risks, jailbreaks, and refusals of LLMs," arXiv:2406.18495, 2024.</w:t>
      </w:r>
    </w:p>
    <w:p>
      <w:pPr>
        <w:pStyle w:val="references"/>
      </w:pPr>
      <w:r>
        <w:t xml:space="preserve">[5] ProtectAI, "DeBERTa-v3-base-prompt-injection-v2," Hugging Face model repository, 2024. [Online]. Available: https://huggingface.co/protectai/deberta-v3-base-prompt-injection-v2</w:t>
      </w:r>
    </w:p>
    <w:p>
      <w:pPr>
        <w:pStyle w:val="references"/>
      </w:pPr>
      <w:r>
        <w:t xml:space="preserve">[6] N. Carlini et al., "Are aligned language models adversarially aligned?" arXiv:2306.15447, 2023.</w:t>
      </w:r>
    </w:p>
    <w:p>
      <w:pPr>
        <w:pStyle w:val="references"/>
      </w:pPr>
      <w:r>
        <w:t xml:space="preserve">[7] A. Nasr et al., "Scalable extraction of training data from (production) language models," arXiv:2311.17035, 2023.</w:t>
      </w:r>
    </w:p>
    <w:p>
      <w:pPr>
        <w:pStyle w:val="references"/>
      </w:pPr>
      <w:r>
        <w:t xml:space="preserve">[8] A. Gretton et al., "A kernel two-sample test," J. Mach. Learn. Res., vol. 13, pp. 723–773, 2012.</w:t>
      </w:r>
    </w:p>
    <w:p>
      <w:pPr>
        <w:pStyle w:val="references"/>
      </w:pPr>
      <w:r>
        <w:t xml:space="preserve">[9] A. Anthropic, "Clio: Privacy-preserving insights into real-world AI use," Anthropic Research, 2024.</w:t>
      </w:r>
    </w:p>
    <w:p>
      <w:pPr>
        <w:pStyle w:val="references"/>
      </w:pPr>
      <w:r>
        <w:t xml:space="preserve">[10] L. Hartvigsen et al., "ToxiGen: A large-scale machine-generated dataset for adversarial and implicit hate speech detection," in Proc. ACL, 2022.</w:t>
      </w:r>
    </w:p>
    <w:p>
      <w:pPr>
        <w:pStyle w:val="references"/>
      </w:pPr>
      <w:r>
        <w:t xml:space="preserve">[11] Y. Liu et al., "Jailbreaking ChatGPT via prompt engineering: An empirical study," arXiv:2305.13860, 2023.</w:t>
      </w:r>
    </w:p>
    <w:p>
      <w:pPr>
        <w:pStyle w:val="references"/>
      </w:pPr>
      <w:r>
        <w:t xml:space="preserve">[12] P. Röttger et al., "XSTest: A test suite for identifying exaggerated safety behaviours in large language models," in Proc. NAACL, 2024.</w:t>
      </w:r>
    </w:p>
    <w:p>
      <w:pPr>
        <w:pStyle w:val="references"/>
      </w:pPr>
      <w:r>
        <w:t xml:space="preserve">[13] S. Bu et al., "Characterizing model robustness via natural input gradients," arXiv:2311.10506, 2023.</w:t>
      </w:r>
    </w:p>
    <w:p>
      <w:pPr>
        <w:pStyle w:val="references"/>
      </w:pPr>
      <w:r>
        <w:t xml:space="preserve">[14] S. Rabanser et al., "Failing loudly: An empirical study of methods for detecting dataset shift," in Proc. NeurIPS, 2019.</w:t>
      </w:r>
    </w:p>
    <w:p>
      <w:pPr>
        <w:pStyle w:val="references"/>
      </w:pPr>
      <w:r>
        <w:t xml:space="preserve">[15] N. Reimers and I. Gurevych, "Sentence-BERT: Sentence embeddings using Siamese BERT-networks," in Proc. EMNLP, 2019, pp. 3982–3992.</w:t>
      </w:r>
    </w:p>
    <w:p>
      <w:pPr>
        <w:pStyle w:val="references"/>
      </w:pPr>
      <w:r>
        <w:t xml:space="preserve">[16] R. J. G. B. Campello et al., "Density-based clustering based on hierarchical density estimates," in Proc. PAKDD, 2013, pp. 160–172.</w:t>
      </w:r>
    </w:p>
    <w:p>
      <w:pPr>
        <w:pStyle w:val="references"/>
      </w:pPr>
      <w:r>
        <w:t xml:space="preserve">[17] A. Zou et al., "Universal and transferable adversarial attacks on aligned language models," arXiv:2307.15043, 2023.</w:t>
      </w:r>
    </w:p>
    <w:p>
      <w:pPr>
        <w:pStyle w:val="references"/>
      </w:pPr>
      <w:r>
        <w:t xml:space="preserve">[18] M. Mazeika et al., "HarmBench: A standardized evaluation framework for automated red teaming and robust refusal," arXiv:2402.04249, 2024.</w:t>
      </w: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67B1AF66" w14:textId="77777777" w:rsidR="00F12284" w:rsidRDefault="00F12284" w:rsidP="001A3B3D">
      <w:r>
        <w:separator/>
      </w:r>
    </w:p>
  </w:endnote>
  <w:endnote w:type="continuationSeparator" w:id="0">
    <w:p w14:paraId="4E8FDCAD" w14:textId="77777777" w:rsidR="00F12284" w:rsidRDefault="00F1228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609A2DC3" w14:textId="77777777" w:rsidR="00F12284" w:rsidRDefault="00F12284" w:rsidP="001A3B3D">
      <w:r>
        <w:separator/>
      </w:r>
    </w:p>
  </w:footnote>
  <w:footnote w:type="continuationSeparator" w:id="0">
    <w:p w14:paraId="77E5FDEE" w14:textId="77777777" w:rsidR="00F12284" w:rsidRDefault="00F1228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9</TotalTime>
  <Pages>3</Pages>
  <Words>2275</Words>
  <Characters>12969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2024-07-16T13:39:00Z</dcterms:created>
  <dcterms:modified xsi:type="dcterms:W3CDTF">2024-07-16T13:39:00Z</dcterms:modified>
</cp:coreProperties>
</file>