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mc="http://schemas.openxmlformats.org/markup-compatibility/2006" xmlns:r="http://purl.oclc.org/ooxml/officeDocument/relationships" xmlns:w="http://purl.oclc.org/ooxml/wordprocessingml/main" mc:Ignorable="w14 w15 w16se w16cid w16 w16cex w16sdtdh wne wp14" w:conformance="strict">
  <w:body>
    <w:p>
      <w:pPr>
        <w:pStyle w:val="papertitle"/>
      </w:pPr>
      <w:r>
        <w:t xml:space="preserve">GuardLens: Temporal Monitoring of Emerging LLM Safety Blind Spots</w:t>
      </w:r>
    </w:p>
    <w:p>
      <w:pPr>
        <w:pStyle w:val="Author"/>
      </w:pPr>
      <w:r>
        <w:t xml:space="preserve">Praneeth Agoli</w:t>
      </w:r>
    </w:p>
    <w:p>
      <w:pPr>
        <w:pStyle w:val="Affiliation"/>
      </w:pPr>
      <w:r>
        <w:t xml:space="preserve">praneethagoli@gmail.com</w:t>
      </w:r>
    </w:p>
    <w:p>
      <w:pPr>
        <w:sectPr>
          <w:footerReference w:type="first" r:id="rId8"/>
          <w:pgSz w:w="612pt" w:h="792pt" w:code="1"/>
          <w:pgMar w:top="54pt" w:right="44.65pt" w:bottom="72pt" w:left="44.65pt" w:header="36pt" w:footer="36pt" w:gutter="0pt"/>
          <w:cols w:space="36pt"/>
          <w:titlePg/>
          <w:docGrid w:linePitch="360"/>
        </w:sectPr>
      </w:pPr>
    </w:p>
    <w:p>
      <w:pPr>
        <w:sectPr>
          <w:type w:val="continuous"/>
          <w:pgSz w:w="612pt" w:h="792pt" w:code="1"/>
          <w:pgMar w:top="54pt" w:right="44.65pt" w:bottom="72pt" w:left="44.65pt" w:header="36pt" w:footer="36pt" w:gutter="0pt"/>
          <w:cols w:num="2" w:space="18pt"/>
          <w:docGrid w:linePitch="360"/>
        </w:sectPr>
      </w:pPr>
    </w:p>
    <w:p>
      <w:pPr>
        <w:pStyle w:val="Abstract"/>
      </w:pPr>
      <w:r>
        <w:rPr>
          <w:b/>
        </w:rPr>
        <w:t xml:space="preserve">Abstract—</w:t>
      </w:r>
      <w:r>
        <w:t xml:space="preserve">Large language model deployments rely on safety classifiers to filter harmful requests, yet these guardrails inevitably approve some adversarial inputs, creating undetected safety blind spots. We present GuardLens, a lightweight, model-agnostic monitoring layer that observes guardrail-approved traffic for emerging semantic clusters, combining density-based clustering within overlapping temporal windows, cross-cycle cluster persistence, and an interpretable Emergence Score to prioritize novel, growing clusters for analyst review. GuardLens requires no classifier access, retraining, or labeled attack data, and adds no inference-time latency. We evaluate GuardLens across three attack-emergence regimes, matching five baseline strategies in detection rate while producing significantly purer analyst-facing clusters on semantically diverse attacks. Beyond controlled benchmark evaluation, GuardLens maintains full detection under realistic conversational traffic from independent datasets and previously unseen, LLM-generated attack variants, consistent with detection tracking semantic emergence rather than benchmark-specific lexical artifacts. Traffic-volume experiments show detection holds at 2.5× scale wherever attack prevalence scales with traffic, degrading only under a deliberately fixed-volume attacker burst — a boundary condition we report directly. Matched hyperparameter sweeps show default settings are robust across a wide operating range. These results position GuardLens as a practical, deployable complement to existing guardrails rather than a replacement for classifier improvement.</w:t>
      </w:r>
    </w:p>
    <w:p>
      <w:pPr>
        <w:pStyle w:val="Keywords"/>
      </w:pPr>
      <w:r>
        <w:rPr>
          <w:b/>
        </w:rPr>
        <w:t xml:space="preserve">Keywords—</w:t>
      </w:r>
      <w:r>
        <w:rPr>
          <w:i/>
        </w:rPr>
        <w:t xml:space="preserve">LLM safety, guardrail monitoring, blind spot detection, HDBSCAN clustering, temporal emergence detection</w:t>
      </w:r>
    </w:p>
    <w:p>
      <w:pPr>
        <w:pStyle w:val="Heading1"/>
      </w:pPr>
      <w:r>
        <w:t xml:space="preserve">I. Introduction</w:t>
      </w:r>
    </w:p>
    <w:p>
      <w:pPr>
        <w:pStyle w:val="BodyText"/>
      </w:pPr>
      <w:r>
        <w:t xml:space="preserve">The rapid adoption of Large Language Models (LLMs) in production systems has made safety classifiers, commonly referred to as guardrails, a critical component of responsible AI deployment [1]. These classifiers evaluate incoming requests and block prompts associated with known attack patterns such as prompt injection, jailbreak attempts, and other policy violations [1]. However, no classifier achieves perfect recall: automated red-teaming reliably elicits failures even from well-aligned systems [2], and adversarial techniques continually evolve [3]. Previously unseen semantic attack variants—or entirely new attack strategies—can exploit gaps beyond a classifier’s training distribution [3], [4], [5]. When a guardrail mistakenly approves a harmful request, the failure is typically silent: the request is treated as benign, with no automated mechanism to flag it for review. Over time, these undetected failures accumulate into safety blind spots that can be systematically exploited [3].</w:t>
      </w:r>
    </w:p>
    <w:p>
      <w:pPr>
        <w:pStyle w:val="BodyText"/>
      </w:pPr>
      <w:r>
        <w:t xml:space="preserve">Existing mitigation approaches address this problem only partially. Manual auditing of approved traffic is labor-intensive and statistically unlikely to identify rare but emerging attack patterns. Distribution-shift methods such as Maximum Mean Discrepancy (MMD) [6] test whether an overall traffic distribution has changed; such aggregate tests, however, cannot localize the responsible requests or present coherent, reviewable attack clusters. Recent work such as Clio [7] demonstrates the value of clustering production LLM interactions for usage analytics, but it characterizes user behavior rather than identifying emerging safety threats, and does not persistently track semantic clusters across time.</w:t>
      </w:r>
    </w:p>
    <w:p>
      <w:pPr>
        <w:pStyle w:val="BodyText"/>
      </w:pPr>
      <w:r>
        <w:t xml:space="preserve">We present GuardLens, a lightweight, model-agnostic layer that introduces persistent semantic emergence monitoring for guardrail-approved traffic. GuardLens embeds approved prompts into a semantic space, clusters them within overlapping sliding windows using HDBSCAN [8], tracks cluster identity across monitoring cycles through centroid matching, and prioritizes emerging behaviors via an interpretable Emergence Score integrating density, temporal growth, and historical novelty. It requires no access to guardrail internals and adds no inference-time latency. A fixed-budget top-K analyst queue surfaces the most suspicious emerging clusters for investigation before they become widespread.</w:t>
      </w:r>
    </w:p>
    <w:p>
      <w:pPr>
        <w:pStyle w:val="BodyText"/>
      </w:pPr>
      <w:r>
        <w:t xml:space="preserve">The primary contributions of this work are as follows:</w:t>
      </w:r>
    </w:p>
    <w:p>
      <w:pPr>
        <w:pStyle w:val="bulletlist"/>
      </w:pPr>
      <w:r>
        <w:rPr>
          <w:b/>
        </w:rPr>
        <w:t xml:space="preserve">Persistent Semantic Emergence Monitoring. </w:t>
      </w:r>
      <w:r>
        <w:t xml:space="preserve"> A lightweight post-deployment monitoring framework combining density-based clustering, cross-cycle cluster persistence, and an interpretable Emergence Score to identify and prioritize emerging semantic attack patterns without labeled attack data or modifications to the underlying classifier.</w:t>
      </w:r>
    </w:p>
    <w:p>
      <w:pPr>
        <w:pStyle w:val="bulletlist"/>
      </w:pPr>
      <w:r>
        <w:rPr>
          <w:b/>
        </w:rPr>
        <w:t xml:space="preserve">Comprehensive Evaluation Beyond Benchmark Replay. </w:t>
      </w:r>
      <w:r>
        <w:t xml:space="preserve"> We evaluate GuardLens across three attack-emergence regimes using standard benchmark attacks and a complementary evaluation with realistic conversational traffic drawn from independent datasets, plus previously unseen LLM-generated semantic attack variants and traffic-volume and hyperparameter robustness checks.</w:t>
      </w:r>
    </w:p>
    <w:p>
      <w:pPr>
        <w:pStyle w:val="bulletlist"/>
      </w:pPr>
      <w:r>
        <w:rPr>
          <w:b/>
        </w:rPr>
        <w:t xml:space="preserve">Practical Analyst Prioritization. </w:t>
      </w:r>
      <w:r>
        <w:t xml:space="preserve"> An optional LLM-based verification stage that improves analyst queue precision without affecting detection latency.</w:t>
      </w:r>
    </w:p>
    <w:p>
      <w:pPr>
        <w:pStyle w:val="BodyText"/>
      </w:pPr>
      <w:r>
        <w:t xml:space="preserve">Unlike prior benchmark-only evaluations, this evaluation is designed to distinguish genuine semantic emergence detection from reliance on benchmark-specific lexical artifacts, addressed directly in Section V-A.</w:t>
      </w:r>
    </w:p>
    <w:p>
      <w:pPr>
        <w:pStyle w:val="Heading1"/>
      </w:pPr>
      <w:r>
        <w:t xml:space="preserve">II. Related Work</w:t>
      </w:r>
    </w:p>
    <w:p>
      <w:pPr>
        <w:pStyle w:val="Heading2"/>
      </w:pPr>
      <w:r>
        <w:t xml:space="preserve">LLM Safety Classifiers</w:t>
      </w:r>
    </w:p>
    <w:p>
      <w:pPr>
        <w:pStyle w:val="BodyText"/>
      </w:pPr>
      <w:r>
        <w:t xml:space="preserve">Adversarial jailbreak techniques [3] and transferable attacks [4] demonstrate persistent vulnerabilities in LLM safety alignment; such attacks exploit gaps in classifier training distributions that persist even in well-aligned systems [3], [4], [5]. Production guardrails address this problem through classifier-based filtering: general-purpose moderation models such as Llama Guard [1] and WildGuard [9], specialized detectors such as the DeBERTa-based prompt-injection classifier used as the deployed guardrail throughout this work [10], and content-safety classifiers such as ShieldGemma [11]. These systems operate at the individual-request level, however, with no mechanism for monitoring the collective behavior of approved traffic after deployment. Concurrent work applies semantic-drift analysis to post-deployment safety monitoring via model-behavior probing rather than traffic clustering [19]. GuardLens is complementary: it monitors approved traffic rather than replacing classifiers or probing model behavior directly — the gap this work fills.</w:t>
      </w:r>
    </w:p>
    <w:p>
      <w:pPr>
        <w:pStyle w:val="Heading2"/>
      </w:pPr>
      <w:r>
        <w:t xml:space="preserve">Production Traffic Analysis</w:t>
      </w:r>
    </w:p>
    <w:p>
      <w:pPr>
        <w:pStyle w:val="BodyText"/>
      </w:pPr>
      <w:r>
        <w:t xml:space="preserve">Clio [7] clusters production LLM conversations using hierarchical topic modeling to discover usage patterns. Its focus is descriptive—characterizing what users are doing—rather than identifying whether emerging activity represents a safety concern. GuardLens addresses a different question: temporal emergence detection, tracking cluster births, growth, and novelty across monitoring cycles. Recent work replaces offline, batch-oriented clustering with online variants for real-time stream monitoring [20], a direction GuardLens does not yet adopt (Section VI-A).</w:t>
      </w:r>
    </w:p>
    <w:p>
      <w:pPr>
        <w:pStyle w:val="Heading2"/>
      </w:pPr>
      <w:r>
        <w:t xml:space="preserve">Distribution Shift Detection</w:t>
      </w:r>
    </w:p>
    <w:p>
      <w:pPr>
        <w:pStyle w:val="BodyText"/>
      </w:pPr>
      <w:r>
        <w:t xml:space="preserve">Statistical drift methods, including MMD [6] and classifier-based approaches to detecting dataset shift [12], test whether new traffic differs from a historical reference distribution. Such aggregate tests, however, cannot localize the specific requests responsible for a detected shift or organize them into interpretable, reviewable clusters. As our experiments show, MMD is comparatively less sensitive to gradual drift below its per-cycle threshold, consistent with its design as a global drift detector rather than a cluster-localization method.</w:t>
      </w:r>
    </w:p>
    <w:p>
      <w:pPr>
        <w:pStyle w:val="Heading1"/>
      </w:pPr>
      <w:r>
        <w:t xml:space="preserve">III. Methodology</w:t>
      </w:r>
    </w:p>
    <w:p>
      <w:pPr>
        <w:pStyle w:val="Heading2"/>
      </w:pPr>
      <w:r>
        <w:t xml:space="preserve">GuardLens Overview</w:t>
      </w:r>
    </w:p>
    <w:p>
      <w:pPr>
        <w:pStyle w:val="BodyText"/>
      </w:pPr>
      <w:r>
        <w:t xml:space="preserve">Existing safety infrastructure treats guardrail approval as a terminal decision, leaving the gap identified in Section II unaddressed: no mechanism monitors collective behavior in approved traffic over time. GuardLens treats persistent semantic emergence — the sustained growth of a coherent request pattern across time — as the unit of detection, because a single anomalous request is rarely actionable but a growing, unfamiliar cluster of them is.</w:t>
      </w:r>
    </w:p>
    <w:p>
      <w:pPr>
        <w:pStyle w:val="BodyText"/>
      </w:pPr>
      <w:r>
        <w:t xml:space="preserve">As shown in Fig. 1, GuardLens embeds guardrail-approved requests, clusters them within an overlapping temporal window, tracks cluster identity across cycles via a persistent registry, and ranks clusters with an Emergence Score before surfacing the top-K to analyst review. An optional LLM-based verification stage refines this queue post hoc without sitting in the detection path.</w:t>
      </w:r>
    </w:p>
    <w:p>
      <w:pPr>
        <w:pStyle w:val="Heading2"/>
      </w:pPr>
      <w:r>
        <w:t xml:space="preserve">Semantic Representation and Temporal Clustering</w:t>
      </w:r>
    </w:p>
    <w:p>
      <w:pPr>
        <w:pStyle w:val="BodyText"/>
      </w:pPr>
      <w:r>
        <w:t xml:space="preserve">Each approved request is embedded using Sentence-BERT [13]. These embeddings are accumulated over a sliding window of the w most recent monitoring cycles, W_t = A_(t−w+1) ∪ A_(t−w+2) ∪ ... ∪ A_t, where A_i is the set of approved requests observed in cycle i. The window exists because accumulating evidence across cycles helps distinguish a genuinely emerging cluster from background noise — an improvement in cluster purity relative to single-cycle clustering, quantified in Section V-B.</w:t>
      </w:r>
    </w:p>
    <w:p>
      <w:pPr>
        <w:pStyle w:val="BodyText"/>
      </w:pPr>
      <w:r>
        <w:t xml:space="preserve">Embeddings within W_t are clustered using HDBSCAN [8], a density-based algorithm that discovers clusters of varying density without a predefined cluster count. Applied independently to a single cycle, however, clustering alone lacks temporal context to distinguish a novel emerging pattern from a recurring one — motivating the persistent tracking mechanism described next.</w:t>
      </w:r>
    </w:p>
    <w:p>
      <w:pPr>
        <w:pStyle w:val="Heading2"/>
      </w:pPr>
      <w:r>
        <w:t xml:space="preserve">Persistent Cluster Tracking</w:t>
      </w:r>
    </w:p>
    <w:p>
      <w:pPr>
        <w:pStyle w:val="BodyText"/>
      </w:pPr>
      <w:r>
        <w:t xml:space="preserve">Raw per-cycle clusters carry no identity across cycles, which would make growth undefined. The Cluster Registry resolves this by matching each new cluster to historical centroids via cosine similarity. This threshold (0.85) reflects a common high-similarity range for SBERT-family embeddings [13] rather than a validated, task-specific choice; Section VI-A reports its sensitivity. Matched clusters accumulate age and growth history; unmatched clusters are registered as new. This lets GuardLens distinguish a slowly-building campaign from recurring noise, unlike stateless single-cycle clustering.</w:t>
      </w:r>
    </w:p>
    <w:p>
      <w:pPr>
        <w:pStyle w:val="Heading2"/>
      </w:pPr>
      <w:r>
        <w:t xml:space="preserve">Emergence Scoring</w:t>
      </w:r>
    </w:p>
    <w:p>
      <w:pPr>
        <w:pStyle w:val="BodyText"/>
      </w:pPr>
      <w:r>
        <w:t xml:space="preserve">Density alone cannot separate an emerging threat from an established, stable topic, since both can be dense. GuardLens combines density (D), growth (G), and novelty (N) into a single score:</w:t>
      </w:r>
    </w:p>
    <w:p>
      <w:pPr>
        <w:pStyle w:val="equation"/>
      </w:pPr>
      <w:r>
        <w:t xml:space="preserve">E = D × max(G, 0.1) × N</w:t>
      </w:r>
    </w:p>
    <w:p>
      <w:pPr>
        <w:pStyle w:val="BodyText"/>
      </w:pPr>
      <w:r>
        <w:t xml:space="preserve">The multiplicative form, rather than a weighted sum, treats the three signals as joint requirements rather than substitutable evidence — a cluster that is dense but historically familiar, or novel but diffuse, should not rank highly on one axis alone; a weighted sum would allow exactly that. The 0.1 growth floor prevents this from fully zeroing out a cluster whose growth is flat but whose density and novelty are otherwise strong. Section V-D’s ablation shows that which component is load-bearing varies by regime and traffic condition — under realistic traffic, density and growth both prove necessary in at least one regime, not merely novelty — reinforcing the case for combining all three multiplicatively rather than relying on any single signal.</w:t>
      </w:r>
    </w:p>
    <w:p>
      <w:pPr>
        <w:pStyle w:val="Heading2"/>
      </w:pPr>
      <w:r>
        <w:t xml:space="preserve">LLM-Based Cluster Verification</w:t>
      </w:r>
    </w:p>
    <w:p>
      <w:pPr>
        <w:pStyle w:val="BodyText"/>
      </w:pPr>
      <w:r>
        <w:t xml:space="preserve">The Top-K queue has no ground truth; an analyst must triage each cluster manually. To reduce this burden, a local LLM optionally classifies each queued cluster as THREAT or BENIGN from representative samples nearest and farthest from centroid. Because this runs after the queue is fixed, it can only filter what an analyst sees — it cannot alter detection latency, which keeps the real-time path unaffected by inference cost.</w:t>
      </w:r>
    </w:p>
    <w:p>
      <w:pPr>
        <w:pStyle w:val="Heading2"/>
      </w:pPr>
      <w:r>
        <w:t xml:space="preserve">Threat Model</w:t>
      </w:r>
    </w:p>
    <w:p>
      <w:pPr>
        <w:pStyle w:val="BodyText"/>
      </w:pPr>
      <w:r>
        <w:t xml:space="preserve">GuardLens assumes the deployed guardrail is fixed and monitors only what it already approved — the goal is post-deployment visibility, not classifier replacement. Evaluation spans both raw benchmark attacks and previously unseen LLM-generated semantic variants within the same harm categories, approximating how attacker behavior evolves after a benchmark-trained guardrail is deployed; regime definitions follow in Section IV-C. The fragmentation regime evaluates one adaptive strategy — splitting attack volume across communities to stay below the clustering threshold. A more sophisticated, embedding-aware adversary crafting deliberately low-semantic-footprint prompts is not evaluated here.</w:t>
      </w:r>
    </w:p>
    <w:p>
      <w:pPr>
        <w:pStyle w:val="Heading1"/>
      </w:pPr>
      <w:r>
        <w:t xml:space="preserve">IV. Experimental Setup</w:t>
      </w:r>
    </w:p>
    <w:p>
      <w:pPr>
        <w:pStyle w:val="Heading2"/>
      </w:pPr>
      <w:r>
        <w:t xml:space="preserve">Deployed Guardrail and Semantic Embeddings</w:t>
      </w:r>
    </w:p>
    <w:p>
      <w:pPr>
        <w:pStyle w:val="BodyText"/>
      </w:pPr>
      <w:r>
        <w:t xml:space="preserve">All experiments evaluate GuardLens behind a deployed production-style guardrail, the ProtectAI DeBERTa Prompt Injection Classifier v2 [10]; only prompts classified SAFE are forwarded to GuardLens. Approved prompts are embedded with Sentence-Transformers all-MiniLM-L6-v2 (384-dim, L2-normalized) [13], used throughout all experiments.</w:t>
      </w:r>
    </w:p>
    <w:p>
      <w:pPr>
        <w:pStyle w:val="Heading2"/>
      </w:pPr>
      <w:r>
        <w:t xml:space="preserve">Monitoring Configuration</w:t>
      </w:r>
    </w:p>
    <w:p>
      <w:pPr>
        <w:pStyle w:val="BodyText"/>
      </w:pPr>
      <w:r>
        <w:t xml:space="preserve">A monitoring cycle is a fixed-size batch of approved requests — 150–200 prompts in the benchmark experiments, 200 or 500 in the traffic-volume experiments — rather than a fixed wall-clock interval, letting deployments map cycles to their own polling cadence. GuardLens maintains a sliding window of the three most recent cycles, clusters embeddings with HDBSCAN [8] (min_cluster_size=5, min_samples=3, Euclidean distance, EOM selection), tracks clusters across cycles via centroid matching, ranks them by the Emergence Score, and surfaces the Top-K=3 clusters for review. Unless stated otherwise, each experiment is averaged across five random seeds.</w:t>
      </w:r>
    </w:p>
    <w:p>
      <w:pPr>
        <w:pStyle w:val="Heading2"/>
      </w:pPr>
      <w:r>
        <w:t xml:space="preserve">Threat Regimes</w:t>
      </w:r>
    </w:p>
    <w:p>
      <w:pPr>
        <w:pStyle w:val="BodyText"/>
      </w:pPr>
      <w:r>
        <w:t xml:space="preserve">Because no public production dataset contains temporally-labeled emerging prompt-injection attacks, we construct three threat regimes via controlled injection into benign traffic, consistent with standard practice in drift-detection evaluation.</w:t>
      </w:r>
    </w:p>
    <w:p>
      <w:pPr>
        <w:pStyle w:val="bulletlist"/>
      </w:pPr>
      <w:r>
        <w:rPr>
          <w:b/>
        </w:rPr>
        <w:t xml:space="preserve">R1 — Novel Attack Family. </w:t>
      </w:r>
      <w:r>
        <w:t xml:space="preserve"> Beginning at monitoring cycle five, AdvBench prompts [4] are introduced at increasing volume (5–25% of approved traffic), representing a previously unseen attack family gaining adoption.</w:t>
      </w:r>
    </w:p>
    <w:p>
      <w:pPr>
        <w:pStyle w:val="bulletlist"/>
      </w:pPr>
      <w:r>
        <w:rPr>
          <w:b/>
        </w:rPr>
        <w:t xml:space="preserve">R2 — Coordinated Burst. </w:t>
      </w:r>
      <w:r>
        <w:t xml:space="preserve"> Fifty-eight near-duplicate prompts from the “Advanced” subset of JailbreakLLMs [3] are injected simultaneously, modeling coordinated reuse of a successful jailbreak template.</w:t>
      </w:r>
    </w:p>
    <w:p>
      <w:pPr>
        <w:pStyle w:val="bulletlist"/>
      </w:pPr>
      <w:r>
        <w:rPr>
          <w:b/>
        </w:rPr>
        <w:t xml:space="preserve">R3 — Slow Semantic Drift. </w:t>
      </w:r>
      <w:r>
        <w:t xml:space="preserve"> Cybercrime-intrusion prompts from HarmBench [14] are introduced gradually across cycles, modeling prevalence that increases slowly rather than as a sudden burst.</w:t>
      </w:r>
    </w:p>
    <w:p>
      <w:pPr>
        <w:pStyle w:val="Heading2"/>
      </w:pPr>
      <w:r>
        <w:t xml:space="preserve">Realistic Traffic and Previously Unseen Attack Variants</w:t>
      </w:r>
    </w:p>
    <w:p>
      <w:pPr>
        <w:pStyle w:val="BodyText"/>
      </w:pPr>
      <w:r>
        <w:t xml:space="preserve">The regimes above use publicly available attack datasets. To assess generalization beyond benchmark replay, we additionally evaluate against an independent benign pool of 15,000 prompts drawn from Alpaca [15], OASST1 [16], and UltraChat [17] — sources with no overlap with any attack benchmark used — eliminating the possibility that detection is driven by shared data-collection artifacts between benign and attack sources. For each regime, we further generate 100 previously unseen attack variants (50 semantic paraphrases, 50 novel-intent items within the same harm category) via a locally hosted LLM, cached deterministically for reproducibility, with no exact-text overlap with any public benchmark release.</w:t>
      </w:r>
    </w:p>
    <w:p>
      <w:pPr>
        <w:pStyle w:val="Heading2"/>
      </w:pPr>
      <w:r>
        <w:t xml:space="preserve">Baselines and Evaluation Metrics</w:t>
      </w:r>
    </w:p>
    <w:p>
      <w:pPr>
        <w:pStyle w:val="BodyText"/>
      </w:pPr>
      <w:r>
        <w:t xml:space="preserve">GuardLens is compared against five baselines under the same per-cycle review budget: Random Audit (uniform sampling), Stratified Random (sampling near the guardrail’s decision boundary), MMD Drift [6], One-Shot Cluster (per-cycle HDBSCAN, no temporal persistence), and Isolation Forest [18], a standard unsupervised anomaly detector applied to the same embeddings. Four metrics are reported: Detection Rate, the fraction of runs detecting at least one attack cluster (purity ≥0.5); Detection Latency, cycles from attack onset to first detection; Purity, the fraction of a detected cluster’s members that are true attack items; and Coverage, the fraction of all attack items in the current window captured by that cluster. Given the small sample size typical of seed-based evaluation (n=5), significance between methods is assessed via non-overlapping 95% confidence intervals (t-distribution) rather than a parametric hypothesis test; intervals that do not overlap are treated as indicating a meaningful difference.</w:t>
      </w:r>
    </w:p>
    <w:p>
      <w:pPr>
        <w:pStyle w:val="Heading1"/>
      </w:pPr>
      <w:r>
        <w:t xml:space="preserve">V. Results</w:t>
      </w:r>
    </w:p>
    <w:p>
      <w:pPr>
        <w:pStyle w:val="Heading2"/>
      </w:pPr>
      <w:r>
        <w:t xml:space="preserve">Detection Under Unseen Attack Variants</w:t>
      </w:r>
    </w:p>
    <w:p>
      <w:pPr>
        <w:pStyle w:val="tablehead"/>
      </w:pPr>
      <w:r>
        <w:t xml:space="preserve">Table I: Detection / Latency Under 100 Unseen Attack Variants per Regime (5 Seeds, 200 Items/Cycle)</w:t>
      </w:r>
    </w:p>
    <w:tbl>
      <w:tblPr>
        <w:tblStyle w:val="TableNormal"/>
        <w:tblW w:w="0" w:type="auto"/>
        <w:tblLook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val="clear" w:color="auto" w:fill="D9E2F3"/>
          </w:tcPr>
          <w:p>
            <w:pPr>
              <w:pStyle w:val="tablecolhead"/>
            </w:pPr>
            <w:r>
              <w:rPr>
                <w:b/>
              </w:rPr>
              <w:t xml:space="preserve">Method</w:t>
            </w:r>
          </w:p>
        </w:tc>
        <w:tc>
          <w:tcPr>
            <w:tcW w:w="0" w:type="auto"/>
            <w:shd w:val="clear" w:color="auto" w:fill="D9E2F3"/>
          </w:tcPr>
          <w:p>
            <w:pPr>
              <w:pStyle w:val="tablecolhead"/>
            </w:pPr>
            <w:r>
              <w:rPr>
                <w:b/>
              </w:rPr>
              <w:t xml:space="preserve">R1: Novel Family</w:t>
            </w:r>
          </w:p>
        </w:tc>
        <w:tc>
          <w:tcPr>
            <w:tcW w:w="0" w:type="auto"/>
            <w:shd w:val="clear" w:color="auto" w:fill="D9E2F3"/>
          </w:tcPr>
          <w:p>
            <w:pPr>
              <w:pStyle w:val="tablecolhead"/>
            </w:pPr>
            <w:r>
              <w:rPr>
                <w:b/>
              </w:rPr>
              <w:t xml:space="preserve">R2: Coordinated</w:t>
            </w:r>
          </w:p>
        </w:tc>
        <w:tc>
          <w:tcPr>
            <w:tcW w:w="0" w:type="auto"/>
            <w:shd w:val="clear" w:color="auto" w:fill="D9E2F3"/>
          </w:tcPr>
          <w:p>
            <w:pPr>
              <w:pStyle w:val="tablecolhead"/>
            </w:pPr>
            <w:r>
              <w:rPr>
                <w:b/>
              </w:rPr>
              <w:t xml:space="preserve">R3: Slow Drift</w:t>
            </w:r>
          </w:p>
        </w:tc>
      </w:tr>
      <w:tr>
        <w:tc>
          <w:tcPr>
            <w:tcW w:w="0" w:type="auto"/>
          </w:tcPr>
          <w:p>
            <w:pPr>
              <w:pStyle w:val="tablecopy"/>
            </w:pPr>
            <w:r>
              <w:rPr>
                <w:b/>
              </w:rPr>
              <w:t xml:space="preserve">GuardLens</w:t>
            </w:r>
          </w:p>
        </w:tc>
        <w:tc>
          <w:tcPr>
            <w:tcW w:w="0" w:type="auto"/>
          </w:tcPr>
          <w:p>
            <w:pPr>
              <w:pStyle w:val="tablecopy"/>
            </w:pPr>
            <w:r>
              <w:rPr>
                <w:b/>
              </w:rPr>
              <w:t xml:space="preserve">5/5 · 2</w:t>
            </w:r>
          </w:p>
        </w:tc>
        <w:tc>
          <w:tcPr>
            <w:tcW w:w="0" w:type="auto"/>
          </w:tcPr>
          <w:p>
            <w:pPr>
              <w:pStyle w:val="tablecopy"/>
            </w:pPr>
            <w:r>
              <w:rPr>
                <w:b/>
              </w:rPr>
              <w:t xml:space="preserve">5/5 · 0</w:t>
            </w:r>
          </w:p>
        </w:tc>
        <w:tc>
          <w:tcPr>
            <w:tcW w:w="0" w:type="auto"/>
          </w:tcPr>
          <w:p>
            <w:pPr>
              <w:pStyle w:val="tablecopy"/>
            </w:pPr>
            <w:r>
              <w:rPr>
                <w:b/>
              </w:rPr>
              <w:t xml:space="preserve">5/5 · 2</w:t>
            </w:r>
          </w:p>
        </w:tc>
      </w:tr>
      <w:tr>
        <w:tc>
          <w:tcPr>
            <w:tcW w:w="0" w:type="auto"/>
          </w:tcPr>
          <w:p>
            <w:pPr>
              <w:pStyle w:val="tablecopy"/>
            </w:pPr>
            <w:r>
              <w:t xml:space="preserve">One-Shot Cluster</w:t>
            </w:r>
          </w:p>
        </w:tc>
        <w:tc>
          <w:tcPr>
            <w:tcW w:w="0" w:type="auto"/>
          </w:tcPr>
          <w:p>
            <w:pPr>
              <w:pStyle w:val="tablecopy"/>
            </w:pPr>
            <w:r>
              <w:t xml:space="preserve">5/5 · 1</w:t>
            </w:r>
          </w:p>
        </w:tc>
        <w:tc>
          <w:tcPr>
            <w:tcW w:w="0" w:type="auto"/>
          </w:tcPr>
          <w:p>
            <w:pPr>
              <w:pStyle w:val="tablecopy"/>
            </w:pPr>
            <w:r>
              <w:t xml:space="preserve">5/5 · 0</w:t>
            </w:r>
          </w:p>
        </w:tc>
        <w:tc>
          <w:tcPr>
            <w:tcW w:w="0" w:type="auto"/>
          </w:tcPr>
          <w:p>
            <w:pPr>
              <w:pStyle w:val="tablecopy"/>
            </w:pPr>
            <w:r>
              <w:t xml:space="preserve">5/5 · 3</w:t>
            </w:r>
          </w:p>
        </w:tc>
      </w:tr>
      <w:tr>
        <w:tc>
          <w:tcPr>
            <w:tcW w:w="0" w:type="auto"/>
          </w:tcPr>
          <w:p>
            <w:pPr>
              <w:pStyle w:val="tablecopy"/>
            </w:pPr>
            <w:r>
              <w:t xml:space="preserve">MMD Drift</w:t>
            </w:r>
          </w:p>
        </w:tc>
        <w:tc>
          <w:tcPr>
            <w:tcW w:w="0" w:type="auto"/>
          </w:tcPr>
          <w:p>
            <w:pPr>
              <w:pStyle w:val="tablecopy"/>
            </w:pPr>
            <w:r>
              <w:t xml:space="preserve">5/5 · 1</w:t>
            </w:r>
          </w:p>
        </w:tc>
        <w:tc>
          <w:tcPr>
            <w:tcW w:w="0" w:type="auto"/>
          </w:tcPr>
          <w:p>
            <w:pPr>
              <w:pStyle w:val="tablecopy"/>
            </w:pPr>
            <w:r>
              <w:t xml:space="preserve">4/5 · 0</w:t>
            </w:r>
          </w:p>
        </w:tc>
        <w:tc>
          <w:tcPr>
            <w:tcW w:w="0" w:type="auto"/>
          </w:tcPr>
          <w:p>
            <w:pPr>
              <w:pStyle w:val="tablecopy"/>
            </w:pPr>
            <w:r>
              <w:t xml:space="preserve">4/5 · 4</w:t>
            </w:r>
          </w:p>
        </w:tc>
      </w:tr>
      <w:tr>
        <w:tc>
          <w:tcPr>
            <w:tcW w:w="0" w:type="auto"/>
          </w:tcPr>
          <w:p>
            <w:pPr>
              <w:pStyle w:val="tablecopy"/>
            </w:pPr>
            <w:r>
              <w:t xml:space="preserve">Isolation Forest</w:t>
            </w:r>
          </w:p>
        </w:tc>
        <w:tc>
          <w:tcPr>
            <w:tcW w:w="0" w:type="auto"/>
          </w:tcPr>
          <w:p>
            <w:pPr>
              <w:pStyle w:val="tablecopy"/>
            </w:pPr>
            <w:r>
              <w:t xml:space="preserve">4/5 · 4</w:t>
            </w:r>
          </w:p>
        </w:tc>
        <w:tc>
          <w:tcPr>
            <w:tcW w:w="0" w:type="auto"/>
          </w:tcPr>
          <w:p>
            <w:pPr>
              <w:pStyle w:val="tablecopy"/>
            </w:pPr>
            <w:r>
              <w:t xml:space="preserve">0/5 · —</w:t>
            </w:r>
          </w:p>
        </w:tc>
        <w:tc>
          <w:tcPr>
            <w:tcW w:w="0" w:type="auto"/>
          </w:tcPr>
          <w:p>
            <w:pPr>
              <w:pStyle w:val="tablecopy"/>
            </w:pPr>
            <w:r>
              <w:t xml:space="preserve">5/5 · 2</w:t>
            </w:r>
          </w:p>
        </w:tc>
      </w:tr>
      <w:tr>
        <w:tc>
          <w:tcPr>
            <w:tcW w:w="0" w:type="auto"/>
          </w:tcPr>
          <w:p>
            <w:pPr>
              <w:pStyle w:val="tablecopy"/>
            </w:pPr>
            <w:r>
              <w:t xml:space="preserve">Stratified Random</w:t>
            </w:r>
          </w:p>
        </w:tc>
        <w:tc>
          <w:tcPr>
            <w:tcW w:w="0" w:type="auto"/>
          </w:tcPr>
          <w:p>
            <w:pPr>
              <w:pStyle w:val="tablecopy"/>
            </w:pPr>
            <w:r>
              <w:t xml:space="preserve">3/5 · 1</w:t>
            </w:r>
          </w:p>
        </w:tc>
        <w:tc>
          <w:tcPr>
            <w:tcW w:w="0" w:type="auto"/>
          </w:tcPr>
          <w:p>
            <w:pPr>
              <w:pStyle w:val="tablecopy"/>
            </w:pPr>
            <w:r>
              <w:t xml:space="preserve">3/5 · 0</w:t>
            </w:r>
          </w:p>
        </w:tc>
        <w:tc>
          <w:tcPr>
            <w:tcW w:w="0" w:type="auto"/>
          </w:tcPr>
          <w:p>
            <w:pPr>
              <w:pStyle w:val="tablecopy"/>
            </w:pPr>
            <w:r>
              <w:t xml:space="preserve">4/5 · 4</w:t>
            </w:r>
          </w:p>
        </w:tc>
      </w:tr>
      <w:tr>
        <w:tc>
          <w:tcPr>
            <w:tcW w:w="0" w:type="auto"/>
          </w:tcPr>
          <w:p>
            <w:pPr>
              <w:pStyle w:val="tablecopy"/>
            </w:pPr>
            <w:r>
              <w:t xml:space="preserve">Random Audit</w:t>
            </w:r>
          </w:p>
        </w:tc>
        <w:tc>
          <w:tcPr>
            <w:tcW w:w="0" w:type="auto"/>
          </w:tcPr>
          <w:p>
            <w:pPr>
              <w:pStyle w:val="tablecopy"/>
            </w:pPr>
            <w:r>
              <w:t xml:space="preserve">4/5 · 3</w:t>
            </w:r>
          </w:p>
        </w:tc>
        <w:tc>
          <w:tcPr>
            <w:tcW w:w="0" w:type="auto"/>
          </w:tcPr>
          <w:p>
            <w:pPr>
              <w:pStyle w:val="tablecopy"/>
            </w:pPr>
            <w:r>
              <w:t xml:space="preserve">4/5 · 2</w:t>
            </w:r>
          </w:p>
        </w:tc>
        <w:tc>
          <w:tcPr>
            <w:tcW w:w="0" w:type="auto"/>
          </w:tcPr>
          <w:p>
            <w:pPr>
              <w:pStyle w:val="tablecopy"/>
            </w:pPr>
            <w:r>
              <w:t xml:space="preserve">3/5 · 2</w:t>
            </w:r>
          </w:p>
        </w:tc>
      </w:tr>
    </w:tbl>
    <w:p>
      <w:pPr>
        <w:pStyle w:val="tablefootnote"/>
      </w:pPr>
      <w:r>
        <w:t xml:space="preserve">Cell format: detections/5 seeds · median latency (cycles). Benchmark-replay results differ by ≤1 cycle in every cell (Appendix A).</w:t>
      </w:r>
    </w:p>
    <w:p>
      <w:pPr>
        <w:pStyle w:val="BodyText"/>
      </w:pPr>
      <w:r>
        <w:t xml:space="preserve">GuardLens and One-Shot Cluster both reach 5/5 detection in all three regimes — no other method does. Detection rate alone therefore does not separate them; the differentiator is cluster quality (Section V-B). Isolation Forest’s 0/5 on R2 is the most striking result here: R2’s coordinated burst forms a tight cluster in embedding space, and isolation-based scoring rates tightly clustered points as more normal, not less — a documented failure mode of IF on collective anomalies that density-based clustering is designed to handle. This provides evidence against the “no strong unsupervised baseline” objection: given identical embeddings and review budget, a standard method fails structurally on exactly the regime it’s least suited for.</w:t>
      </w:r>
    </w:p>
    <w:p>
      <w:pPr>
        <w:pStyle w:val="Heading2"/>
      </w:pPr>
      <w:r>
        <w:t xml:space="preserve">Cluster Purity at Detection</w:t>
      </w:r>
    </w:p>
    <w:p>
      <w:pPr>
        <w:pStyle w:val="tablehead"/>
      </w:pPr>
      <w:r>
        <w:t xml:space="preserve">Table II: Cluster Purity, Mean ± 95% CI (t-distribution, n=5 Seeds)</w:t>
      </w:r>
    </w:p>
    <w:tbl>
      <w:tblPr>
        <w:tblStyle w:val="TableNormal"/>
        <w:tblW w:w="0" w:type="auto"/>
        <w:tblLook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val="clear" w:color="auto" w:fill="D9E2F3"/>
          </w:tcPr>
          <w:p>
            <w:pPr>
              <w:pStyle w:val="tablecolhead"/>
            </w:pPr>
            <w:r>
              <w:rPr>
                <w:b/>
              </w:rPr>
              <w:t xml:space="preserve">Regime</w:t>
            </w:r>
          </w:p>
        </w:tc>
        <w:tc>
          <w:tcPr>
            <w:tcW w:w="0" w:type="auto"/>
            <w:shd w:val="clear" w:color="auto" w:fill="D9E2F3"/>
          </w:tcPr>
          <w:p>
            <w:pPr>
              <w:pStyle w:val="tablecolhead"/>
            </w:pPr>
            <w:r>
              <w:rPr>
                <w:b/>
              </w:rPr>
              <w:t xml:space="preserve">GuardLens</w:t>
            </w:r>
          </w:p>
        </w:tc>
        <w:tc>
          <w:tcPr>
            <w:tcW w:w="0" w:type="auto"/>
            <w:shd w:val="clear" w:color="auto" w:fill="D9E2F3"/>
          </w:tcPr>
          <w:p>
            <w:pPr>
              <w:pStyle w:val="tablecolhead"/>
            </w:pPr>
            <w:r>
              <w:rPr>
                <w:b/>
              </w:rPr>
              <w:t xml:space="preserve">One-Shot Cluster</w:t>
            </w:r>
          </w:p>
        </w:tc>
      </w:tr>
      <w:tr>
        <w:tc>
          <w:tcPr>
            <w:tcW w:w="0" w:type="auto"/>
          </w:tcPr>
          <w:p>
            <w:pPr>
              <w:pStyle w:val="tablecopy"/>
            </w:pPr>
            <w:r>
              <w:t xml:space="preserve">R1</w:t>
            </w:r>
          </w:p>
        </w:tc>
        <w:tc>
          <w:tcPr>
            <w:tcW w:w="0" w:type="auto"/>
          </w:tcPr>
          <w:p>
            <w:pPr>
              <w:pStyle w:val="tablecopy"/>
            </w:pPr>
            <w:r>
              <w:rPr>
                <w:b/>
              </w:rPr>
              <w:t xml:space="preserve">0.95 ± 0.06</w:t>
            </w:r>
          </w:p>
        </w:tc>
        <w:tc>
          <w:tcPr>
            <w:tcW w:w="0" w:type="auto"/>
          </w:tcPr>
          <w:p>
            <w:pPr>
              <w:pStyle w:val="tablecopy"/>
            </w:pPr>
            <w:r>
              <w:t xml:space="preserve">0.67 ± 0.26</w:t>
            </w:r>
          </w:p>
        </w:tc>
      </w:tr>
      <w:tr>
        <w:tc>
          <w:tcPr>
            <w:tcW w:w="0" w:type="auto"/>
          </w:tcPr>
          <w:p>
            <w:pPr>
              <w:pStyle w:val="tablecopy"/>
            </w:pPr>
            <w:r>
              <w:t xml:space="preserve">R2</w:t>
            </w:r>
          </w:p>
        </w:tc>
        <w:tc>
          <w:tcPr>
            <w:tcW w:w="0" w:type="auto"/>
          </w:tcPr>
          <w:p>
            <w:pPr>
              <w:pStyle w:val="tablecopy"/>
            </w:pPr>
            <w:r>
              <w:t xml:space="preserve">0.80 ± 0.26</w:t>
            </w:r>
          </w:p>
        </w:tc>
        <w:tc>
          <w:tcPr>
            <w:tcW w:w="0" w:type="auto"/>
          </w:tcPr>
          <w:p>
            <w:pPr>
              <w:pStyle w:val="tablecopy"/>
            </w:pPr>
            <w:r>
              <w:t xml:space="preserve">0.84 ± 0.29</w:t>
            </w:r>
          </w:p>
        </w:tc>
      </w:tr>
      <w:tr>
        <w:tc>
          <w:tcPr>
            <w:tcW w:w="0" w:type="auto"/>
          </w:tcPr>
          <w:p>
            <w:pPr>
              <w:pStyle w:val="tablecopy"/>
            </w:pPr>
            <w:r>
              <w:t xml:space="preserve">R3</w:t>
            </w:r>
          </w:p>
        </w:tc>
        <w:tc>
          <w:tcPr>
            <w:tcW w:w="0" w:type="auto"/>
          </w:tcPr>
          <w:p>
            <w:pPr>
              <w:pStyle w:val="tablecopy"/>
            </w:pPr>
            <w:r>
              <w:t xml:space="preserve">0.85 ± 0.13</w:t>
            </w:r>
          </w:p>
        </w:tc>
        <w:tc>
          <w:tcPr>
            <w:tcW w:w="0" w:type="auto"/>
          </w:tcPr>
          <w:p>
            <w:pPr>
              <w:pStyle w:val="tablecopy"/>
            </w:pPr>
            <w:r>
              <w:t xml:space="preserve">0.87 ± 0.15</w:t>
            </w:r>
          </w:p>
        </w:tc>
      </w:tr>
    </w:tbl>
    <w:p>
      <w:pPr>
        <w:pStyle w:val="BodyText"/>
      </w:pPr>
      <w:r>
        <w:t xml:space="preserve">On R1 — diverse, gradually emerging attacks — GuardLens’s Emergence Score selects a substantially purer cluster (0.95 vs. 0.67), with non-overlapping 95% confidence intervals. An operator reviewing GuardLens’s top cluster sees roughly 40% fewer false positives. On R2 and R3, where the attack cluster is structurally obvious, the two methods converge and their CIs overlap — indicating no significant difference in those regimes. This is consistent with the temporal mechanism adding value specifically when attack diversity makes cluster selection non-trivial, not uniformly across all conditions. Coverage is lower for GuardLens (mean 0.44 vs. 0.74), reflecting deliberate selectivity: one clean cluster flagged early is operationally more useful than a large, noisier one.</w:t>
      </w:r>
    </w:p>
    <w:p>
      <w:pPr>
        <w:pStyle w:val="Heading2"/>
      </w:pPr>
      <w:r>
        <w:t xml:space="preserve">Volume Sensitivity and Hyperparameter Robustness</w:t>
      </w:r>
    </w:p>
    <w:p>
      <w:pPr>
        <w:pStyle w:val="tablehead"/>
      </w:pPr>
      <w:r>
        <w:t xml:space="preserve">Table III(a): Detection at 200 vs. 500 Items/Cycle (Default Hyperparameters)</w:t>
      </w:r>
    </w:p>
    <w:tbl>
      <w:tblPr>
        <w:tblStyle w:val="TableNormal"/>
        <w:tblW w:w="0" w:type="auto"/>
        <w:tblLook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val="clear" w:color="auto" w:fill="D9E2F3"/>
          </w:tcPr>
          <w:p>
            <w:pPr>
              <w:pStyle w:val="tablecolhead"/>
            </w:pPr>
            <w:r>
              <w:rPr>
                <w:b/>
              </w:rPr>
              <w:t xml:space="preserve">Regime</w:t>
            </w:r>
          </w:p>
        </w:tc>
        <w:tc>
          <w:tcPr>
            <w:tcW w:w="0" w:type="auto"/>
            <w:shd w:val="clear" w:color="auto" w:fill="D9E2F3"/>
          </w:tcPr>
          <w:p>
            <w:pPr>
              <w:pStyle w:val="tablecolhead"/>
            </w:pPr>
            <w:r>
              <w:rPr>
                <w:b/>
              </w:rPr>
              <w:t xml:space="preserve">Attack Model</w:t>
            </w:r>
          </w:p>
        </w:tc>
        <w:tc>
          <w:tcPr>
            <w:tcW w:w="0" w:type="auto"/>
            <w:shd w:val="clear" w:color="auto" w:fill="D9E2F3"/>
          </w:tcPr>
          <w:p>
            <w:pPr>
              <w:pStyle w:val="tablecolhead"/>
            </w:pPr>
            <w:r>
              <w:rPr>
                <w:b/>
              </w:rPr>
              <w:t xml:space="preserve">GL @200</w:t>
            </w:r>
          </w:p>
        </w:tc>
        <w:tc>
          <w:tcPr>
            <w:tcW w:w="0" w:type="auto"/>
            <w:shd w:val="clear" w:color="auto" w:fill="D9E2F3"/>
          </w:tcPr>
          <w:p>
            <w:pPr>
              <w:pStyle w:val="tablecolhead"/>
            </w:pPr>
            <w:r>
              <w:rPr>
                <w:b/>
              </w:rPr>
              <w:t xml:space="preserve">GL @500</w:t>
            </w:r>
          </w:p>
        </w:tc>
        <w:tc>
          <w:tcPr>
            <w:tcW w:w="0" w:type="auto"/>
            <w:shd w:val="clear" w:color="auto" w:fill="D9E2F3"/>
          </w:tcPr>
          <w:p>
            <w:pPr>
              <w:pStyle w:val="tablecolhead"/>
            </w:pPr>
            <w:r>
              <w:rPr>
                <w:b/>
              </w:rPr>
              <w:t xml:space="preserve">IF @200</w:t>
            </w:r>
          </w:p>
        </w:tc>
        <w:tc>
          <w:tcPr>
            <w:tcW w:w="0" w:type="auto"/>
            <w:shd w:val="clear" w:color="auto" w:fill="D9E2F3"/>
          </w:tcPr>
          <w:p>
            <w:pPr>
              <w:pStyle w:val="tablecolhead"/>
            </w:pPr>
            <w:r>
              <w:rPr>
                <w:b/>
              </w:rPr>
              <w:t xml:space="preserve">IF @500</w:t>
            </w:r>
          </w:p>
        </w:tc>
      </w:tr>
      <w:tr>
        <w:tc>
          <w:tcPr>
            <w:tcW w:w="0" w:type="auto"/>
          </w:tcPr>
          <w:p>
            <w:pPr>
              <w:pStyle w:val="tablecopy"/>
            </w:pPr>
            <w:r>
              <w:t xml:space="preserve">R1</w:t>
            </w:r>
          </w:p>
        </w:tc>
        <w:tc>
          <w:tcPr>
            <w:tcW w:w="0" w:type="auto"/>
          </w:tcPr>
          <w:p>
            <w:pPr>
              <w:pStyle w:val="tablecopy"/>
            </w:pPr>
            <w:r>
              <w:t xml:space="preserve">∝ traffic</w:t>
            </w:r>
          </w:p>
        </w:tc>
        <w:tc>
          <w:tcPr>
            <w:tcW w:w="0" w:type="auto"/>
          </w:tcPr>
          <w:p>
            <w:pPr>
              <w:pStyle w:val="tablecopy"/>
            </w:pPr>
            <w:r>
              <w:t xml:space="preserve">5/5</w:t>
            </w:r>
          </w:p>
        </w:tc>
        <w:tc>
          <w:tcPr>
            <w:tcW w:w="0" w:type="auto"/>
          </w:tcPr>
          <w:p>
            <w:pPr>
              <w:pStyle w:val="tablecopy"/>
            </w:pPr>
            <w:r>
              <w:t xml:space="preserve">5/5</w:t>
            </w:r>
          </w:p>
        </w:tc>
        <w:tc>
          <w:tcPr>
            <w:tcW w:w="0" w:type="auto"/>
          </w:tcPr>
          <w:p>
            <w:pPr>
              <w:pStyle w:val="tablecopy"/>
            </w:pPr>
            <w:r>
              <w:t xml:space="preserve">4/5</w:t>
            </w:r>
          </w:p>
        </w:tc>
        <w:tc>
          <w:tcPr>
            <w:tcW w:w="0" w:type="auto"/>
          </w:tcPr>
          <w:p>
            <w:pPr>
              <w:pStyle w:val="tablecopy"/>
            </w:pPr>
            <w:r>
              <w:t xml:space="preserve">3/5</w:t>
            </w:r>
          </w:p>
        </w:tc>
      </w:tr>
      <w:tr>
        <w:tc>
          <w:tcPr>
            <w:tcW w:w="0" w:type="auto"/>
          </w:tcPr>
          <w:p>
            <w:pPr>
              <w:pStyle w:val="tablecopy"/>
            </w:pPr>
            <w:r>
              <w:t xml:space="preserve">R2</w:t>
            </w:r>
          </w:p>
        </w:tc>
        <w:tc>
          <w:tcPr>
            <w:tcW w:w="0" w:type="auto"/>
          </w:tcPr>
          <w:p>
            <w:pPr>
              <w:pStyle w:val="tablecopy"/>
            </w:pPr>
            <w:r>
              <w:t xml:space="preserve">fixed burst</w:t>
            </w:r>
          </w:p>
        </w:tc>
        <w:tc>
          <w:tcPr>
            <w:tcW w:w="0" w:type="auto"/>
          </w:tcPr>
          <w:p>
            <w:pPr>
              <w:pStyle w:val="tablecopy"/>
            </w:pPr>
            <w:r>
              <w:t xml:space="preserve">5/5</w:t>
            </w:r>
          </w:p>
        </w:tc>
        <w:tc>
          <w:tcPr>
            <w:tcW w:w="0" w:type="auto"/>
          </w:tcPr>
          <w:p>
            <w:pPr>
              <w:pStyle w:val="tablecopy"/>
            </w:pPr>
            <w:r>
              <w:rPr>
                <w:b/>
              </w:rPr>
              <w:t xml:space="preserve">2/5</w:t>
            </w:r>
          </w:p>
        </w:tc>
        <w:tc>
          <w:tcPr>
            <w:tcW w:w="0" w:type="auto"/>
          </w:tcPr>
          <w:p>
            <w:pPr>
              <w:pStyle w:val="tablecopy"/>
            </w:pPr>
            <w:r>
              <w:t xml:space="preserve">0/5</w:t>
            </w:r>
          </w:p>
        </w:tc>
        <w:tc>
          <w:tcPr>
            <w:tcW w:w="0" w:type="auto"/>
          </w:tcPr>
          <w:p>
            <w:pPr>
              <w:pStyle w:val="tablecopy"/>
            </w:pPr>
            <w:r>
              <w:t xml:space="preserve">0/5</w:t>
            </w:r>
          </w:p>
        </w:tc>
      </w:tr>
      <w:tr>
        <w:tc>
          <w:tcPr>
            <w:tcW w:w="0" w:type="auto"/>
          </w:tcPr>
          <w:p>
            <w:pPr>
              <w:pStyle w:val="tablecopy"/>
            </w:pPr>
            <w:r>
              <w:t xml:space="preserve">R3</w:t>
            </w:r>
          </w:p>
        </w:tc>
        <w:tc>
          <w:tcPr>
            <w:tcW w:w="0" w:type="auto"/>
          </w:tcPr>
          <w:p>
            <w:pPr>
              <w:pStyle w:val="tablecopy"/>
            </w:pPr>
            <w:r>
              <w:t xml:space="preserve">∝ traffic</w:t>
            </w:r>
          </w:p>
        </w:tc>
        <w:tc>
          <w:tcPr>
            <w:tcW w:w="0" w:type="auto"/>
          </w:tcPr>
          <w:p>
            <w:pPr>
              <w:pStyle w:val="tablecopy"/>
            </w:pPr>
            <w:r>
              <w:t xml:space="preserve">5/5</w:t>
            </w:r>
          </w:p>
        </w:tc>
        <w:tc>
          <w:tcPr>
            <w:tcW w:w="0" w:type="auto"/>
          </w:tcPr>
          <w:p>
            <w:pPr>
              <w:pStyle w:val="tablecopy"/>
            </w:pPr>
            <w:r>
              <w:t xml:space="preserve">5/5</w:t>
            </w:r>
          </w:p>
        </w:tc>
        <w:tc>
          <w:tcPr>
            <w:tcW w:w="0" w:type="auto"/>
          </w:tcPr>
          <w:p>
            <w:pPr>
              <w:pStyle w:val="tablecopy"/>
            </w:pPr>
            <w:r>
              <w:t xml:space="preserve">5/5</w:t>
            </w:r>
          </w:p>
        </w:tc>
        <w:tc>
          <w:tcPr>
            <w:tcW w:w="0" w:type="auto"/>
          </w:tcPr>
          <w:p>
            <w:pPr>
              <w:pStyle w:val="tablecopy"/>
            </w:pPr>
            <w:r>
              <w:t xml:space="preserve">4/5</w:t>
            </w:r>
          </w:p>
        </w:tc>
      </w:tr>
    </w:tbl>
    <w:p>
      <w:pPr>
        <w:pStyle w:val="tablefootnote"/>
      </w:pPr>
      <w:r>
        <w:t xml:space="preserve">An 11-configuration R1 sweep (window_size, top_k, min_cluster_size), repeated at both volumes, showed 100% detection in all 22 trials (Appendix Table A3).</w:t>
      </w:r>
    </w:p>
    <w:p>
      <w:pPr>
        <w:pStyle w:val="tablehead"/>
      </w:pPr>
      <w:r>
        <w:t xml:space="preserve">Table III(b): R2 min_cluster_size Sweep at Both Volumes</w:t>
      </w:r>
    </w:p>
    <w:tbl>
      <w:tblPr>
        <w:tblStyle w:val="TableNormal"/>
        <w:tblW w:w="0" w:type="auto"/>
        <w:tblLook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val="clear" w:color="auto" w:fill="D9E2F3"/>
          </w:tcPr>
          <w:p>
            <w:pPr>
              <w:pStyle w:val="tablecolhead"/>
            </w:pPr>
            <w:r>
              <w:rPr>
                <w:b/>
              </w:rPr>
              <w:t xml:space="preserve">min_cluster_size</w:t>
            </w:r>
          </w:p>
        </w:tc>
        <w:tc>
          <w:tcPr>
            <w:tcW w:w="0" w:type="auto"/>
            <w:shd w:val="clear" w:color="auto" w:fill="D9E2F3"/>
          </w:tcPr>
          <w:p>
            <w:pPr>
              <w:pStyle w:val="tablecolhead"/>
            </w:pPr>
            <w:r>
              <w:rPr>
                <w:b/>
              </w:rPr>
              <w:t xml:space="preserve">Det. @200</w:t>
            </w:r>
          </w:p>
        </w:tc>
        <w:tc>
          <w:tcPr>
            <w:tcW w:w="0" w:type="auto"/>
            <w:shd w:val="clear" w:color="auto" w:fill="D9E2F3"/>
          </w:tcPr>
          <w:p>
            <w:pPr>
              <w:pStyle w:val="tablecolhead"/>
            </w:pPr>
            <w:r>
              <w:rPr>
                <w:b/>
              </w:rPr>
              <w:t xml:space="preserve">Det. @500</w:t>
            </w:r>
          </w:p>
        </w:tc>
      </w:tr>
      <w:tr>
        <w:tc>
          <w:tcPr>
            <w:tcW w:w="0" w:type="auto"/>
          </w:tcPr>
          <w:p>
            <w:pPr>
              <w:pStyle w:val="tablecopy"/>
            </w:pPr>
            <w:r>
              <w:t xml:space="preserve">3</w:t>
            </w:r>
          </w:p>
        </w:tc>
        <w:tc>
          <w:tcPr>
            <w:tcW w:w="0" w:type="auto"/>
          </w:tcPr>
          <w:p>
            <w:pPr>
              <w:pStyle w:val="tablecopy"/>
            </w:pPr>
            <w:r>
              <w:t xml:space="preserve">4/5</w:t>
            </w:r>
          </w:p>
        </w:tc>
        <w:tc>
          <w:tcPr>
            <w:tcW w:w="0" w:type="auto"/>
          </w:tcPr>
          <w:p>
            <w:pPr>
              <w:pStyle w:val="tablecopy"/>
            </w:pPr>
            <w:r>
              <w:t xml:space="preserve">3/5</w:t>
            </w:r>
          </w:p>
        </w:tc>
      </w:tr>
      <w:tr>
        <w:tc>
          <w:tcPr>
            <w:tcW w:w="0" w:type="auto"/>
          </w:tcPr>
          <w:p>
            <w:pPr>
              <w:pStyle w:val="tablecopy"/>
            </w:pPr>
            <w:r>
              <w:t xml:space="preserve">5 (default)</w:t>
            </w:r>
          </w:p>
        </w:tc>
        <w:tc>
          <w:tcPr>
            <w:tcW w:w="0" w:type="auto"/>
          </w:tcPr>
          <w:p>
            <w:pPr>
              <w:pStyle w:val="tablecopy"/>
            </w:pPr>
            <w:r>
              <w:rPr>
                <w:b/>
              </w:rPr>
              <w:t xml:space="preserve">5/5</w:t>
            </w:r>
          </w:p>
        </w:tc>
        <w:tc>
          <w:tcPr>
            <w:tcW w:w="0" w:type="auto"/>
          </w:tcPr>
          <w:p>
            <w:pPr>
              <w:pStyle w:val="tablecopy"/>
            </w:pPr>
            <w:r>
              <w:t xml:space="preserve">2/5</w:t>
            </w:r>
          </w:p>
        </w:tc>
      </w:tr>
      <w:tr>
        <w:tc>
          <w:tcPr>
            <w:tcW w:w="0" w:type="auto"/>
          </w:tcPr>
          <w:p>
            <w:pPr>
              <w:pStyle w:val="tablecopy"/>
            </w:pPr>
            <w:r>
              <w:t xml:space="preserve">8</w:t>
            </w:r>
          </w:p>
        </w:tc>
        <w:tc>
          <w:tcPr>
            <w:tcW w:w="0" w:type="auto"/>
          </w:tcPr>
          <w:p>
            <w:pPr>
              <w:pStyle w:val="tablecopy"/>
            </w:pPr>
            <w:r>
              <w:t xml:space="preserve">5/5</w:t>
            </w:r>
          </w:p>
        </w:tc>
        <w:tc>
          <w:tcPr>
            <w:tcW w:w="0" w:type="auto"/>
          </w:tcPr>
          <w:p>
            <w:pPr>
              <w:pStyle w:val="tablecopy"/>
            </w:pPr>
            <w:r>
              <w:t xml:space="preserve">3/5</w:t>
            </w:r>
          </w:p>
        </w:tc>
      </w:tr>
    </w:tbl>
    <w:p>
      <w:pPr>
        <w:pStyle w:val="BodyText"/>
      </w:pPr>
      <w:r>
        <w:t xml:space="preserve">R1 and R3 are volume-invariant because their attack count scales proportionally with traffic. R2 degrades because its fixed 30-item burst falls from ~15% to ~6% of the cycle at 500/cycle, dropping below HDBSCAN’s density threshold. Table III(b) shows this is not fixable by tuning a constant: the default (5) is best at 200 and worst at 500; 3 is worst at 200 but ties for best at 500 — no single value reaches 5/5 at both volumes, motivating volume-adaptive thresholds as a specific future-work item. Isolation Forest’s 0/5 on R2 persists at both volumes, consistent with the failure being structural rather than a data-starvation artifact.</w:t>
      </w:r>
    </w:p>
    <w:p>
      <w:pPr>
        <w:pStyle w:val="Heading2"/>
      </w:pPr>
      <w:r>
        <w:t xml:space="preserve">Emergence Score Ablation</w:t>
      </w:r>
    </w:p>
    <w:p>
      <w:pPr>
        <w:pStyle w:val="tablehead"/>
      </w:pPr>
      <w:r>
        <w:t xml:space="preserve">Table IV: Leave-One-Component-Out Ablation (Realistic Traffic, Tier B+C Unseen Variants, 5 Seeds)</w:t>
      </w:r>
    </w:p>
    <w:tbl>
      <w:tblPr>
        <w:tblStyle w:val="TableNormal"/>
        <w:tblW w:w="0" w:type="auto"/>
        <w:tblLook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val="clear" w:color="auto" w:fill="D9E2F3"/>
          </w:tcPr>
          <w:p>
            <w:pPr>
              <w:pStyle w:val="tablecolhead"/>
            </w:pPr>
            <w:r>
              <w:rPr>
                <w:b/>
              </w:rPr>
              <w:t xml:space="preserve">Component Removed</w:t>
            </w:r>
          </w:p>
        </w:tc>
        <w:tc>
          <w:tcPr>
            <w:tcW w:w="0" w:type="auto"/>
            <w:shd w:val="clear" w:color="auto" w:fill="D9E2F3"/>
          </w:tcPr>
          <w:p>
            <w:pPr>
              <w:pStyle w:val="tablecolhead"/>
            </w:pPr>
            <w:r>
              <w:rPr>
                <w:b/>
              </w:rPr>
              <w:t xml:space="preserve">R1: Novel Family</w:t>
            </w:r>
          </w:p>
        </w:tc>
        <w:tc>
          <w:tcPr>
            <w:tcW w:w="0" w:type="auto"/>
            <w:shd w:val="clear" w:color="auto" w:fill="D9E2F3"/>
          </w:tcPr>
          <w:p>
            <w:pPr>
              <w:pStyle w:val="tablecolhead"/>
            </w:pPr>
            <w:r>
              <w:rPr>
                <w:b/>
              </w:rPr>
              <w:t xml:space="preserve">R2: Coordinated</w:t>
            </w:r>
          </w:p>
        </w:tc>
        <w:tc>
          <w:tcPr>
            <w:tcW w:w="0" w:type="auto"/>
            <w:shd w:val="clear" w:color="auto" w:fill="D9E2F3"/>
          </w:tcPr>
          <w:p>
            <w:pPr>
              <w:pStyle w:val="tablecolhead"/>
            </w:pPr>
            <w:r>
              <w:rPr>
                <w:b/>
              </w:rPr>
              <w:t xml:space="preserve">R3: Slow Drift</w:t>
            </w:r>
          </w:p>
        </w:tc>
      </w:tr>
      <w:tr>
        <w:tc>
          <w:tcPr>
            <w:tcW w:w="0" w:type="auto"/>
          </w:tcPr>
          <w:p>
            <w:pPr>
              <w:pStyle w:val="tablecopy"/>
            </w:pPr>
            <w:r>
              <w:t xml:space="preserve">Density</w:t>
            </w:r>
          </w:p>
        </w:tc>
        <w:tc>
          <w:tcPr>
            <w:tcW w:w="0" w:type="auto"/>
          </w:tcPr>
          <w:p>
            <w:pPr>
              <w:pStyle w:val="tablecopy"/>
            </w:pPr>
            <w:r>
              <w:t xml:space="preserve">100%→80%, +1.5 cyc</w:t>
            </w:r>
          </w:p>
        </w:tc>
        <w:tc>
          <w:tcPr>
            <w:tcW w:w="0" w:type="auto"/>
          </w:tcPr>
          <w:p>
            <w:pPr>
              <w:pStyle w:val="tablecopy"/>
            </w:pPr>
            <w:r>
              <w:t xml:space="preserve">60%→60%, +0.0 cyc</w:t>
            </w:r>
          </w:p>
        </w:tc>
        <w:tc>
          <w:tcPr>
            <w:tcW w:w="0" w:type="auto"/>
          </w:tcPr>
          <w:p>
            <w:pPr>
              <w:pStyle w:val="tablecopy"/>
            </w:pPr>
            <w:r>
              <w:t xml:space="preserve">100%→100%, +0.0 cyc</w:t>
            </w:r>
          </w:p>
        </w:tc>
      </w:tr>
      <w:tr>
        <w:tc>
          <w:tcPr>
            <w:tcW w:w="0" w:type="auto"/>
          </w:tcPr>
          <w:p>
            <w:pPr>
              <w:pStyle w:val="tablecopy"/>
            </w:pPr>
            <w:r>
              <w:t xml:space="preserve">Growth</w:t>
            </w:r>
          </w:p>
        </w:tc>
        <w:tc>
          <w:tcPr>
            <w:tcW w:w="0" w:type="auto"/>
          </w:tcPr>
          <w:p>
            <w:pPr>
              <w:pStyle w:val="tablecopy"/>
            </w:pPr>
            <w:r>
              <w:t xml:space="preserve">100%→100%, +0.0 cyc</w:t>
            </w:r>
          </w:p>
        </w:tc>
        <w:tc>
          <w:tcPr>
            <w:tcW w:w="0" w:type="auto"/>
          </w:tcPr>
          <w:p>
            <w:pPr>
              <w:pStyle w:val="tablecopy"/>
            </w:pPr>
            <w:r>
              <w:t xml:space="preserve">60%→40%, +0.0 cyc</w:t>
            </w:r>
          </w:p>
        </w:tc>
        <w:tc>
          <w:tcPr>
            <w:tcW w:w="0" w:type="auto"/>
          </w:tcPr>
          <w:p>
            <w:pPr>
              <w:pStyle w:val="tablecopy"/>
            </w:pPr>
            <w:r>
              <w:t xml:space="preserve">100%→100%, +0.0 cyc</w:t>
            </w:r>
          </w:p>
        </w:tc>
      </w:tr>
      <w:tr>
        <w:tc>
          <w:tcPr>
            <w:tcW w:w="0" w:type="auto"/>
          </w:tcPr>
          <w:p>
            <w:pPr>
              <w:pStyle w:val="tablecopy"/>
            </w:pPr>
            <w:r>
              <w:t xml:space="preserve">Novelty</w:t>
            </w:r>
          </w:p>
        </w:tc>
        <w:tc>
          <w:tcPr>
            <w:tcW w:w="0" w:type="auto"/>
          </w:tcPr>
          <w:p>
            <w:pPr>
              <w:pStyle w:val="tablecopy"/>
            </w:pPr>
            <w:r>
              <w:t xml:space="preserve">100%→100%, +0.0 cyc</w:t>
            </w:r>
          </w:p>
        </w:tc>
        <w:tc>
          <w:tcPr>
            <w:tcW w:w="0" w:type="auto"/>
          </w:tcPr>
          <w:p>
            <w:pPr>
              <w:pStyle w:val="tablecopy"/>
            </w:pPr>
            <w:r>
              <w:t xml:space="preserve">60%→80%, +1.5 cyc</w:t>
            </w:r>
          </w:p>
        </w:tc>
        <w:tc>
          <w:tcPr>
            <w:tcW w:w="0" w:type="auto"/>
          </w:tcPr>
          <w:p>
            <w:pPr>
              <w:pStyle w:val="tablecopy"/>
            </w:pPr>
            <w:r>
              <w:t xml:space="preserve">100%→100%, +1.0 cyc</w:t>
            </w:r>
          </w:p>
        </w:tc>
      </w:tr>
    </w:tbl>
    <w:p>
      <w:pPr>
        <w:pStyle w:val="BodyText"/>
      </w:pPr>
      <w:r>
        <w:t xml:space="preserve">Density and growth both prove necessary in at least one regime: removing density costs 20 points of detection on R1 (100%→80%) and 1.5 cycles of latency; removing growth costs 20 points on R2 (60%→40%). Novelty’s removal costs 1.0 cycle of latency on R3, and pairs with a detection-rate increase on R2 (60%→80%) that, at n=5 seeds, is more plausibly sampling noise than a genuine effect. Density, growth, and novelty are each necessary in at least one regime, not novelty alone — evidence the Emergence Score’s multiplicative design is doing real work across all three signals rather than carrying two redundant terms. R2’s full-score baseline in this configuration is only 60% detection (top_k=1, forced to make component removal decision-relevant), a smaller, noisier base than R1/R3’s, and its ablation deltas should be read with that caveat.</w:t>
      </w:r>
    </w:p>
    <w:p>
      <w:pPr>
        <w:pStyle w:val="Heading2"/>
      </w:pPr>
      <w:r>
        <w:t xml:space="preserve">LLM-Based Cluster Verification</w:t>
      </w:r>
    </w:p>
    <w:p>
      <w:pPr>
        <w:pStyle w:val="BodyText"/>
      </w:pPr>
      <w:r>
        <w:t xml:space="preserve">An optional post-hoc LLM verification stage (qwen3:1.7b) improves precision substantially in all three regimes (R1: 0.14→0.90; R2: 0.06→0.65; R3: 0.13→1.00), but is not cost-free: on R2, verification costs one detection out of five seeds (100%→80%), filtering out a genuine attack cluster under the harder unseen-variant condition; R1 and R3 remain unaffected.</w:t>
      </w:r>
    </w:p>
    <w:p>
      <w:pPr>
        <w:pStyle w:val="Heading1"/>
      </w:pPr>
      <w:r>
        <w:t xml:space="preserve">VI. Discussion</w:t>
      </w:r>
    </w:p>
    <w:p>
      <w:pPr>
        <w:pStyle w:val="BodyText"/>
      </w:pPr>
      <w:r>
        <w:t xml:space="preserve">Temporal memory and novelty jointly drive GuardLens’s cluster-quality advantage. GuardLens and One-Shot Cluster use identical HDBSCAN parameters; the only difference is the sliding window and persistent registry. Under realistic traffic and unseen attack variants, both methods reach full detection in all three regimes, so detection rate alone does not separate them — the differentiator is what an analyst actually sees on first alert (Section V-B). On R1, where attacks are diverse and gradually emerging, GuardLens selects a 95%-pure cluster versus One-Shot’s 67%, with non-overlapping 95% confidence intervals; on R2 and R3, where the attack cluster is structurally obvious, the two methods converge, indicating the temporal mechanism adds value specifically when attack diversity makes cluster selection non-trivial. The ablation (Section V-D) shows density and growth both prove necessary in at least one regime each (R1 and R2 respectively), not just novelty — evidence that the Emergence Score’s multiplicative design, which requires all three signals jointly, is doing real work rather than carrying two redundant terms. Fragmentation results indicate an attacker who splits a coordinated burst can dilute analyst-visible coverage but not evade detection itself.</w:t>
      </w:r>
    </w:p>
    <w:p>
      <w:pPr>
        <w:pStyle w:val="BodyText"/>
      </w:pPr>
      <w:r>
        <w:t xml:space="preserve">Boundary-proximity sampling underperforms semantic clustering. Stratified Random — sampling near the guardrail’s decision threshold, a heuristic that mirrors how many production teams allocate review effort — detects only 3/5, 3/5, and 4/5 seeds in R1, R2, and R3 respectively under realistic traffic and unseen attack variants (Table I), consistently behind GuardLens and One-Shot Cluster’s 5/5 in every regime. This is consistent with novel and slowly-drifting attacks not reliably hovering near the classifier’s confidence boundary — some evade confidently or drift in below the training distribution entirely, and boundary-proximity sampling catches these inconsistently rather than systematically. Teams using threshold-proximity sampling as their primary review strategy have a meaningful coverage gap relative to clustering-based emergence detection.</w:t>
      </w:r>
    </w:p>
    <w:p>
      <w:pPr>
        <w:pStyle w:val="BodyText"/>
      </w:pPr>
      <w:r>
        <w:t xml:space="preserve">Detection tracks semantic emergence and attack density, not benchmark text or raw traffic volume. Section V-A shows detection is unchanged when benchmark prompts are replaced with previously unseen LLM-generated variants embedded in realistic, independently-sourced traffic — evidence the mechanism’s behavior is consistent with semantic novelty detection rather than benchmark-specific lexical artifacts. Section V-C’s volume study reframes what would otherwise read as a scale limitation: detection holds at 2.5× traffic wherever attack volume scales with traffic (R1, R3), and only degrades where it does not (R2’s fixed-count burst, whose share of traffic falls from ~15% to ~6%). This is a property of that threat model intersecting a fixed clustering threshold, not a GuardLens property that fails at scale in general.</w:t>
      </w:r>
    </w:p>
    <w:p>
      <w:pPr>
        <w:pStyle w:val="BodyText"/>
      </w:pPr>
      <w:r>
        <w:t xml:space="preserve">Default hyperparameters are robust, but one parameter needs to become volume-adaptive. The matched sweep (Section V-C; full 22-configuration grid in Appendix Table A3) shows 100% detection across all tested configuration×volume combinations on R1. Where sensitivity does appear — R2’s min_cluster_size — no single fixed value is optimal at both volumes tested, ruling out “just pick a different constant” as a fix and pointing specifically toward a volume-adaptive threshold as future work, rather than a general robustness concern.</w:t>
      </w:r>
    </w:p>
    <w:p>
      <w:pPr>
        <w:pStyle w:val="Heading2"/>
      </w:pPr>
      <w:r>
        <w:t xml:space="preserve">Limitations</w:t>
      </w:r>
    </w:p>
    <w:p>
      <w:pPr>
        <w:pStyle w:val="BodyText"/>
      </w:pPr>
      <w:r>
        <w:t xml:space="preserve">These results should be read within the scope in which they were produced. Detection-rate figures of 100% describe the specific attack mechanisms, traffic volumes, and five-seed averages tested here, not a general safety guarantee, and Section V-C’s volume study establishes only two points (200 and 500 items/cycle) rather than a full scaling curve. The cross-cycle match threshold (cosine 0.85) was chosen as an embedding-space prior rather than tuned, and its sensitivity was only meaningfully exercised on regimes where cross-cycle matching is architecturally active; a systematic sweep across embedding models and match thresholds jointly remains open. Novel-intent attack variants (Section IV-D) are constructed within the same harm categories as the seed benchmarks by design — this tests robustness to surface-form variation and within-category novelty, not an attacker inventing an entirely new harm category never represented in training. Multilingual traffic and cross-model embedding robustness are likewise untested. Because GuardLens is a monitoring layer rather than a blocking layer, these gaps are mitigated in practice by defense-in-depth with the underlying guardrail and human review, but detecting entirely new harm categories, multilingual attack traffic, adversarially-crafted low-semantic-footprint text against a known embedding model, and adopting online rather than batch-cycle clustering [20] to reduce detection latency further all remain future work.</w:t>
      </w:r>
    </w:p>
    <w:p>
      <w:pPr>
        <w:pStyle w:val="Heading1"/>
      </w:pPr>
      <w:r>
        <w:t xml:space="preserve">VII. Conclusion</w:t>
      </w:r>
    </w:p>
    <w:p>
      <w:pPr>
        <w:pStyle w:val="BodyText"/>
      </w:pPr>
      <w:r>
        <w:t xml:space="preserve">We presented GuardLens, a lightweight, model-agnostic monitoring layer that observes guardrail-approved traffic for emerging semantic clusters representing potential safety blind spots, combining density-based clustering, cross-cycle cluster persistence, and an interpretable Emergence Score to prioritize a bounded analyst review queue without labeled attack data or guardrail retraining.</w:t>
      </w:r>
    </w:p>
    <w:p>
      <w:pPr>
        <w:pStyle w:val="BodyText"/>
      </w:pPr>
      <w:r>
        <w:t xml:space="preserve">Across three attack-emergence regimes evaluated under realistic traffic and previously unseen attack variants, GuardLens matched five baseline strategies in detection rate, including a standard unsupervised anomaly detector (Isolation Forest) that fails structurally on coordinated bursts. Against the strongest baseline, One-Shot Cluster, GuardLens ties on detection rate but surfaces significantly purer clusters where attacks are semantically diverse, with ablation results (Section V-D) showing that density, growth, and novelty are each independently necessary in at least one regime under realistic traffic — validating the Emergence Score’s multiplicative design — while LLM verification yields large precision gains (6–8×) at the cost of one missed detection in five seeds on the coordinated-attack regime, and fragmentation results show reduced analyst-visible coverage — not evaded detection — as the cost of adversarial splitting.</w:t>
      </w:r>
    </w:p>
    <w:p>
      <w:pPr>
        <w:pStyle w:val="BodyText"/>
      </w:pPr>
      <w:r>
        <w:t xml:space="preserve">These results should be read within the scope in which they were produced (Section VI-A). Detection-rate figures of 100% describe performance on the specific attack mechanisms, traffic volumes, and five-seed averages tested here, not a general safety guarantee. Traffic-volume experiments show detection is governed by attack density rather than absolute volume: performance held at 2.5× scale wherever attack prevalence scaled with traffic, and degraded only under a deliberately fixed-volume burst model — a boundary condition we report directly rather than obscure.</w:t>
      </w:r>
    </w:p>
    <w:p>
      <w:pPr>
        <w:pStyle w:val="BodyText"/>
      </w:pPr>
      <w:r>
        <w:t xml:space="preserve">Future work should prioritize a volume-adaptive min_cluster_size, joint threshold and embedding-model robustness studies, adoption of online rather than batch-cycle clustering, multilingual and cross-model validation, and detection of entirely new harm categories beyond the ones evaluated here. GuardLens is intended as a practical complement to existing guardrails, not a replacement for classifier improvement.</w:t>
      </w:r>
    </w:p>
    <w:p>
      <w:pPr>
        <w:pStyle w:val="Heading5"/>
      </w:pPr>
      <w:r>
        <w:t xml:space="preserve">Acknowledgment</w:t>
      </w:r>
    </w:p>
    <w:p>
      <w:pPr>
        <w:pStyle w:val="BodyText"/>
      </w:pPr>
      <w:r>
        <w:t xml:space="preserve">[Identify applicable funding agency here. If none, delete this line.]</w:t>
      </w:r>
    </w:p>
    <w:p>
      <w:pPr>
        <w:pStyle w:val="BodyText"/>
      </w:pPr>
      <w:r>
        <w:rPr>
          <w:b/>
        </w:rPr>
        <w:t xml:space="preserve">AI Tools Used. </w:t>
      </w:r>
      <w:r>
        <w:t xml:space="preserve">Claude (Anthropic) assisted in drafting and revising prose across the Introduction, Related Work, Methodology, Experimental Setup, Results, Discussion, Limitations, and Conclusion, translating author-collected experimental data and design decisions into manuscript text, and in verifying reference accuracy against primary sources. All experimental design, data collection, and analysis are the authors’ own; all AI-assisted text was reviewed and edited by the authors, who are fully responsible for its accuracy and originality. Claude is not an author.</w:t>
      </w:r>
    </w:p>
    <w:p>
      <w:pPr>
        <w:pStyle w:val="Heading5"/>
      </w:pPr>
      <w:r>
        <w:t xml:space="preserve">References</w:t>
      </w:r>
    </w:p>
    <w:p>
      <w:pPr>
        <w:pStyle w:val="references"/>
      </w:pPr>
      <w:r>
        <w:t xml:space="preserve">[1] I. Inan et al., "Llama Guard: LLM-based input-output safeguard for human-AI conversations," arXiv:2312.06674, 2023.</w:t>
      </w:r>
    </w:p>
    <w:p>
      <w:pPr>
        <w:pStyle w:val="references"/>
      </w:pPr>
      <w:r>
        <w:t xml:space="preserve">[2] E. Perez et al., "Red teaming language models with language models," in Proc. EMNLP, 2022, pp. 3419–3428.</w:t>
      </w:r>
    </w:p>
    <w:p>
      <w:pPr>
        <w:pStyle w:val="references"/>
      </w:pPr>
      <w:r>
        <w:t xml:space="preserve">[3] Y. Liu et al., "Jailbreaking ChatGPT via prompt engineering: An empirical study," arXiv:2305.13860, 2023.</w:t>
      </w:r>
    </w:p>
    <w:p>
      <w:pPr>
        <w:pStyle w:val="references"/>
      </w:pPr>
      <w:r>
        <w:t xml:space="preserve">[4] A. Zou et al., "Universal and transferable adversarial attacks on aligned language models," arXiv:2307.15043, 2023.</w:t>
      </w:r>
    </w:p>
    <w:p>
      <w:pPr>
        <w:pStyle w:val="references"/>
      </w:pPr>
      <w:r>
        <w:t xml:space="preserve">[5] N. Carlini et al., "Are aligned neural networks adversarially aligned?" arXiv:2306.15447, 2023.</w:t>
      </w:r>
    </w:p>
    <w:p>
      <w:pPr>
        <w:pStyle w:val="references"/>
      </w:pPr>
      <w:r>
        <w:t xml:space="preserve">[6] A. Gretton, K. M. Borgwardt, M. J. Rasch, B. Schölkopf, and A. Smola, "A kernel two-sample test," J. Mach. Learn. Res., vol. 13, pp. 723–773, 2012.</w:t>
      </w:r>
    </w:p>
    <w:p>
      <w:pPr>
        <w:pStyle w:val="references"/>
      </w:pPr>
      <w:r>
        <w:t xml:space="preserve">[7] A. Tamkin et al., "Clio: Privacy-preserving insights into real-world AI use," arXiv:2412.13678, 2024.</w:t>
      </w:r>
    </w:p>
    <w:p>
      <w:pPr>
        <w:pStyle w:val="references"/>
      </w:pPr>
      <w:r>
        <w:t xml:space="preserve">[8] R. J. G. B. Campello, D. Moulavi, and J. Sander, "Density-based clustering based on hierarchical density estimates," in Proc. PAKDD, 2013, pp. 160–172.</w:t>
      </w:r>
    </w:p>
    <w:p>
      <w:pPr>
        <w:pStyle w:val="references"/>
      </w:pPr>
      <w:r>
        <w:t xml:space="preserve">[9] S. Han et al., "WildGuard: Open one-stop moderation tools for safety risks, jailbreaks, and refusals of LLMs," arXiv:2406.18495, 2024.</w:t>
      </w:r>
    </w:p>
    <w:p>
      <w:pPr>
        <w:pStyle w:val="references"/>
      </w:pPr>
      <w:r>
        <w:t xml:space="preserve">[10] ProtectAI, "DeBERTa-v3-base-prompt-injection-v2," Hugging Face model repository, 2024.</w:t>
      </w:r>
    </w:p>
    <w:p>
      <w:pPr>
        <w:pStyle w:val="references"/>
      </w:pPr>
      <w:r>
        <w:t xml:space="preserve">[11] W. Zeng et al., "ShieldGemma: Generative AI content moderation based on Gemma," arXiv:2407.21772, 2024.</w:t>
      </w:r>
    </w:p>
    <w:p>
      <w:pPr>
        <w:pStyle w:val="references"/>
      </w:pPr>
      <w:r>
        <w:t xml:space="preserve">[12] S. Rabanser, S. Günnemann, and Z. Lipton, "Failing loudly: An empirical study of methods for detecting dataset shift," in Proc. NeurIPS, 2019.</w:t>
      </w:r>
    </w:p>
    <w:p>
      <w:pPr>
        <w:pStyle w:val="references"/>
      </w:pPr>
      <w:r>
        <w:t xml:space="preserve">[13] N. Reimers and I. Gurevych, "Sentence-BERT: Sentence embeddings using Siamese BERT-networks," in Proc. EMNLP, 2019, pp. 3982–3992.</w:t>
      </w:r>
    </w:p>
    <w:p>
      <w:pPr>
        <w:pStyle w:val="references"/>
      </w:pPr>
      <w:r>
        <w:t xml:space="preserve">[14] M. Mazeika et al., "HarmBench: A standardized evaluation framework for automated red teaming and robust refusal," arXiv:2402.04249, 2024.</w:t>
      </w:r>
    </w:p>
    <w:p>
      <w:pPr>
        <w:pStyle w:val="references"/>
      </w:pPr>
      <w:r>
        <w:t xml:space="preserve">[15] R. Taori et al., "Stanford Alpaca: An instruction-following LLaMA model," GitHub repository, 2023.</w:t>
      </w:r>
    </w:p>
    <w:p>
      <w:pPr>
        <w:pStyle w:val="references"/>
      </w:pPr>
      <w:r>
        <w:t xml:space="preserve">[16] A. Köpf et al., "OpenAssistant conversations—Democratizing large language model alignment," arXiv:2304.07327, 2023.</w:t>
      </w:r>
    </w:p>
    <w:p>
      <w:pPr>
        <w:pStyle w:val="references"/>
      </w:pPr>
      <w:r>
        <w:t xml:space="preserve">[17] N. Ding et al., "Enhancing chat language models by scaling high-quality instructional conversations," arXiv:2305.14233, 2023.</w:t>
      </w:r>
    </w:p>
    <w:p>
      <w:pPr>
        <w:pStyle w:val="references"/>
      </w:pPr>
      <w:r>
        <w:t xml:space="preserve">[18] F. T. Liu, K. M. Ting, and Z.-H. Zhou, "Isolation forest," in Proc. IEEE ICDM, 2008, pp. 413–422.</w:t>
      </w:r>
    </w:p>
    <w:p>
      <w:pPr>
        <w:pStyle w:val="references"/>
      </w:pPr>
      <w:r>
        <w:t xml:space="preserve">[19] S. Zanbaghi, R. Rostampour, F. Abid, and S. Al Jarmakani, "Detecting sleeper agents in large language models via semantic drift analysis," arXiv:2511.15992, 2025.</w:t>
      </w:r>
    </w:p>
    <w:p>
      <w:pPr>
        <w:pStyle w:val="references"/>
      </w:pPr>
      <w:r>
        <w:t xml:space="preserve">[20] O. Vykhopen, V. Skorik, M. Tereshchenko, and V. Solopova, "Online density-based clustering for real-time narrative evolution monitoring," arXiv:2601.20680, 2026.</w:t>
      </w: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7B1AF66" w14:textId="77777777" w:rsidR="00F12284" w:rsidRDefault="00F12284" w:rsidP="001A3B3D">
      <w:r>
        <w:separator/>
      </w:r>
    </w:p>
  </w:endnote>
  <w:endnote w:type="continuationSeparator" w:id="0">
    <w:p w14:paraId="4E8FDCAD" w14:textId="77777777" w:rsidR="00F12284" w:rsidRDefault="00F1228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09A2DC3" w14:textId="77777777" w:rsidR="00F12284" w:rsidRDefault="00F12284" w:rsidP="001A3B3D">
      <w:r>
        <w:separator/>
      </w:r>
    </w:p>
  </w:footnote>
  <w:footnote w:type="continuationSeparator" w:id="0">
    <w:p w14:paraId="77E5FDEE" w14:textId="77777777" w:rsidR="00F12284" w:rsidRDefault="00F1228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TotalTime>
  <Pages>3</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2024-07-16T13:39:00Z</dcterms:created>
  <dcterms:modified xsi:type="dcterms:W3CDTF">2024-07-16T13:39:00Z</dcterms:modified>
</cp:coreProperties>
</file>