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Instructional Technology Use in the Classroom</w:t>
      </w:r>
    </w:p>
    <w:p w:rsidR="00000000" w:rsidDel="00000000" w:rsidP="00000000" w:rsidRDefault="00000000" w:rsidRPr="00000000" w14:paraId="00000002">
      <w:pPr>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Part 3: Resources</w:t>
      </w:r>
    </w:p>
    <w:p w:rsidR="00000000" w:rsidDel="00000000" w:rsidP="00000000" w:rsidRDefault="00000000" w:rsidRPr="00000000" w14:paraId="00000003">
      <w:pPr>
        <w:spacing w:after="200" w:line="240" w:lineRule="auto"/>
        <w:ind w:left="0" w:firstLine="0"/>
        <w:jc w:val="left"/>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04">
      <w:pPr>
        <w:spacing w:after="200" w:line="240" w:lineRule="auto"/>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Canva, Kahoot, ChatGPT</w:t>
      </w:r>
    </w:p>
    <w:p w:rsidR="00000000" w:rsidDel="00000000" w:rsidP="00000000" w:rsidRDefault="00000000" w:rsidRPr="00000000" w14:paraId="00000005">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06">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07">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08">
      <w:pPr>
        <w:spacing w:after="200" w:line="240" w:lineRule="auto"/>
        <w:ind w:left="720" w:firstLine="720"/>
        <w:jc w:val="center"/>
        <w:rPr>
          <w:rFonts w:ascii="Nunito" w:cs="Nunito" w:eastAsia="Nunito" w:hAnsi="Nunito"/>
          <w:sz w:val="34"/>
          <w:szCs w:val="34"/>
        </w:rPr>
      </w:pPr>
      <w:r w:rsidDel="00000000" w:rsidR="00000000" w:rsidRPr="00000000">
        <w:rPr>
          <w:rtl w:val="0"/>
        </w:rPr>
      </w:r>
    </w:p>
    <w:p w:rsidR="00000000" w:rsidDel="00000000" w:rsidP="00000000" w:rsidRDefault="00000000" w:rsidRPr="00000000" w14:paraId="00000009">
      <w:pPr>
        <w:spacing w:after="200" w:line="240" w:lineRule="auto"/>
        <w:ind w:left="0"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Created By</w:t>
      </w:r>
    </w:p>
    <w:p w:rsidR="00000000" w:rsidDel="00000000" w:rsidP="00000000" w:rsidRDefault="00000000" w:rsidRPr="00000000" w14:paraId="0000000A">
      <w:pPr>
        <w:spacing w:after="200" w:line="240" w:lineRule="auto"/>
        <w:ind w:left="0" w:firstLine="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Mohammadreza Rahimiangolkhandani</w:t>
      </w:r>
    </w:p>
    <w:p w:rsidR="00000000" w:rsidDel="00000000" w:rsidP="00000000" w:rsidRDefault="00000000" w:rsidRPr="00000000" w14:paraId="0000000B">
      <w:pPr>
        <w:spacing w:after="200" w:line="240" w:lineRule="auto"/>
        <w:ind w:left="0" w:firstLine="0"/>
        <w:jc w:val="center"/>
        <w:rPr>
          <w:rFonts w:ascii="Nunito" w:cs="Nunito" w:eastAsia="Nunito" w:hAnsi="Nunito"/>
          <w:b w:val="1"/>
          <w:sz w:val="48"/>
          <w:szCs w:val="48"/>
        </w:rPr>
      </w:pPr>
      <w:r w:rsidDel="00000000" w:rsidR="00000000" w:rsidRPr="00000000">
        <w:rPr>
          <w:rFonts w:ascii="Nunito" w:cs="Nunito" w:eastAsia="Nunito" w:hAnsi="Nunito"/>
          <w:b w:val="1"/>
          <w:sz w:val="36"/>
          <w:szCs w:val="36"/>
          <w:rtl w:val="0"/>
        </w:rPr>
        <w:t xml:space="preserve">Yuhuang Wang</w:t>
      </w:r>
      <w:r w:rsidDel="00000000" w:rsidR="00000000" w:rsidRPr="00000000">
        <w:rPr>
          <w:rtl w:val="0"/>
        </w:rPr>
      </w:r>
    </w:p>
    <w:p w:rsidR="00000000" w:rsidDel="00000000" w:rsidP="00000000" w:rsidRDefault="00000000" w:rsidRPr="00000000" w14:paraId="0000000C">
      <w:pPr>
        <w:spacing w:after="200" w:line="240" w:lineRule="auto"/>
        <w:ind w:left="720" w:firstLine="720"/>
        <w:jc w:val="center"/>
        <w:rPr>
          <w:rFonts w:ascii="Nunito" w:cs="Nunito" w:eastAsia="Nunito" w:hAnsi="Nunito"/>
          <w:b w:val="1"/>
          <w:sz w:val="48"/>
          <w:szCs w:val="48"/>
        </w:rPr>
      </w:pPr>
      <w:r w:rsidDel="00000000" w:rsidR="00000000" w:rsidRPr="00000000">
        <w:rPr>
          <w:rtl w:val="0"/>
        </w:rPr>
      </w:r>
    </w:p>
    <w:p w:rsidR="00000000" w:rsidDel="00000000" w:rsidP="00000000" w:rsidRDefault="00000000" w:rsidRPr="00000000" w14:paraId="0000000D">
      <w:pPr>
        <w:spacing w:after="200" w:line="240" w:lineRule="auto"/>
        <w:ind w:left="0" w:firstLine="0"/>
        <w:jc w:val="center"/>
        <w:rPr>
          <w:rFonts w:ascii="Nunito" w:cs="Nunito" w:eastAsia="Nunito" w:hAnsi="Nunito"/>
          <w:sz w:val="36"/>
          <w:szCs w:val="36"/>
        </w:rPr>
      </w:pPr>
      <w:r w:rsidDel="00000000" w:rsidR="00000000" w:rsidRPr="00000000">
        <w:rPr>
          <w:rFonts w:ascii="Nunito" w:cs="Nunito" w:eastAsia="Nunito" w:hAnsi="Nunito"/>
          <w:sz w:val="36"/>
          <w:szCs w:val="36"/>
          <w:rtl w:val="0"/>
        </w:rPr>
        <w:t xml:space="preserve">Date</w:t>
      </w:r>
    </w:p>
    <w:p w:rsidR="00000000" w:rsidDel="00000000" w:rsidP="00000000" w:rsidRDefault="00000000" w:rsidRPr="00000000" w14:paraId="0000000E">
      <w:pPr>
        <w:spacing w:after="200" w:line="240" w:lineRule="auto"/>
        <w:ind w:left="0" w:firstLine="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April 2023</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240" w:lineRule="auto"/>
        <w:ind w:left="720" w:firstLine="720"/>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1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section, we will discuss the materials required for each session of the professional development program. These materials can be categorized into three groups: those that are the responsibility of the institution, those that are the responsibility of the participants, and those that are the responsibility of the instructor. By understanding who needs to provide each material, the professional development program can be well-organized and successful.</w:t>
      </w:r>
    </w:p>
    <w:p w:rsidR="00000000" w:rsidDel="00000000" w:rsidP="00000000" w:rsidRDefault="00000000" w:rsidRPr="00000000" w14:paraId="00000011">
      <w:pPr>
        <w:rPr>
          <w:rFonts w:ascii="Nunito" w:cs="Nunito" w:eastAsia="Nunito" w:hAnsi="Nunito"/>
          <w:sz w:val="24"/>
          <w:szCs w:val="24"/>
        </w:rPr>
      </w:pPr>
      <w:r w:rsidDel="00000000" w:rsidR="00000000" w:rsidRPr="00000000">
        <w:rPr>
          <w:rFonts w:ascii="Nunito" w:cs="Nunito" w:eastAsia="Nunito" w:hAnsi="Nunito"/>
          <w:sz w:val="24"/>
          <w:szCs w:val="24"/>
          <w:rtl w:val="0"/>
        </w:rPr>
        <w:br w:type="textWrapping"/>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105"/>
        <w:gridCol w:w="2085"/>
        <w:tblGridChange w:id="0">
          <w:tblGrid>
            <w:gridCol w:w="1185"/>
            <w:gridCol w:w="6105"/>
            <w:gridCol w:w="2085"/>
          </w:tblGrid>
        </w:tblGridChange>
      </w:tblGrid>
      <w:tr>
        <w:trPr>
          <w:cantSplit w:val="0"/>
          <w:trHeight w:val="522.36" w:hRule="atLeast"/>
          <w:tblHeader w:val="0"/>
        </w:trPr>
        <w:tc>
          <w:tcPr>
            <w:vMerge w:val="restart"/>
            <w:tcBorders>
              <w:top w:color="f1c232" w:space="0" w:sz="8" w:val="single"/>
              <w:left w:color="f1c232" w:space="0" w:sz="8" w:val="single"/>
              <w:bottom w:color="f1c232" w:space="0" w:sz="8" w:val="single"/>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590964" cy="54535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964" cy="545352"/>
                          </a:xfrm>
                          <a:prstGeom prst="rect"/>
                          <a:ln/>
                        </pic:spPr>
                      </pic:pic>
                    </a:graphicData>
                  </a:graphic>
                </wp:inline>
              </w:drawing>
            </w:r>
            <w:r w:rsidDel="00000000" w:rsidR="00000000" w:rsidRPr="00000000">
              <w:rPr>
                <w:rtl w:val="0"/>
              </w:rPr>
            </w:r>
          </w:p>
        </w:tc>
        <w:tc>
          <w:tcPr>
            <w:gridSpan w:val="2"/>
            <w:tcBorders>
              <w:top w:color="f1c232" w:space="0" w:sz="8" w:val="single"/>
              <w:left w:color="000000" w:space="0" w:sz="0" w:val="nil"/>
              <w:bottom w:color="000000" w:space="0" w:sz="0" w:val="nil"/>
              <w:right w:color="f1c232"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Note: </w:t>
            </w:r>
          </w:p>
        </w:tc>
      </w:tr>
      <w:tr>
        <w:trPr>
          <w:cantSplit w:val="0"/>
          <w:trHeight w:val="440" w:hRule="atLeast"/>
          <w:tblHeader w:val="0"/>
        </w:trPr>
        <w:tc>
          <w:tcPr>
            <w:vMerge w:val="continue"/>
            <w:tcBorders>
              <w:top w:color="f1c232" w:space="0" w:sz="8" w:val="single"/>
              <w:left w:color="f1c232" w:space="0" w:sz="8" w:val="single"/>
              <w:bottom w:color="fff3cc" w:space="0" w:sz="8" w:val="single"/>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f1c232"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Need IT department operations</w:t>
            </w:r>
          </w:p>
        </w:tc>
      </w:tr>
      <w:tr>
        <w:trPr>
          <w:cantSplit w:val="0"/>
          <w:trHeight w:val="440" w:hRule="atLeast"/>
          <w:tblHeader w:val="0"/>
        </w:trPr>
        <w:tc>
          <w:tcPr>
            <w:gridSpan w:val="3"/>
            <w:tcBorders>
              <w:top w:color="fff3cc" w:space="0" w:sz="8" w:val="single"/>
              <w:left w:color="f1c232" w:space="0" w:sz="8" w:val="single"/>
              <w:bottom w:color="f1c232" w:space="0" w:sz="8" w:val="single"/>
              <w:right w:color="f1c232"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Please be informed that in order to access the pro features of Canva, Kahoot, and ChatGPT provided to participants, it is required that the email domain used is registered as an educational institution and that each participant provides a work email address provided by their institution. This applies specifically to the Online account item. Thank you for your attention to this matter.</w:t>
            </w:r>
          </w:p>
        </w:tc>
      </w:tr>
    </w:tbl>
    <w:p w:rsidR="00000000" w:rsidDel="00000000" w:rsidP="00000000" w:rsidRDefault="00000000" w:rsidRPr="00000000" w14:paraId="0000001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Responsibility of the Institution:</w:t>
      </w:r>
    </w:p>
    <w:p w:rsidR="00000000" w:rsidDel="00000000" w:rsidP="00000000" w:rsidRDefault="00000000" w:rsidRPr="00000000" w14:paraId="0000001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Projection equipment</w:t>
      </w:r>
    </w:p>
    <w:p w:rsidR="00000000" w:rsidDel="00000000" w:rsidP="00000000" w:rsidRDefault="00000000" w:rsidRPr="00000000" w14:paraId="0000001F">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Grouping materials include small-group tables or chairs</w:t>
      </w:r>
    </w:p>
    <w:p w:rsidR="00000000" w:rsidDel="00000000" w:rsidP="00000000" w:rsidRDefault="00000000" w:rsidRPr="00000000" w14:paraId="0000002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Computers or mobile devices</w:t>
      </w:r>
    </w:p>
    <w:p w:rsidR="00000000" w:rsidDel="00000000" w:rsidP="00000000" w:rsidRDefault="00000000" w:rsidRPr="00000000" w14:paraId="00000021">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Internet access</w:t>
      </w:r>
    </w:p>
    <w:p w:rsidR="00000000" w:rsidDel="00000000" w:rsidP="00000000" w:rsidRDefault="00000000" w:rsidRPr="00000000" w14:paraId="00000022">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Responsibility of the Participant:</w:t>
      </w:r>
    </w:p>
    <w:p w:rsidR="00000000" w:rsidDel="00000000" w:rsidP="00000000" w:rsidRDefault="00000000" w:rsidRPr="00000000" w14:paraId="00000024">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Canva Account</w:t>
      </w:r>
    </w:p>
    <w:p w:rsidR="00000000" w:rsidDel="00000000" w:rsidP="00000000" w:rsidRDefault="00000000" w:rsidRPr="00000000" w14:paraId="00000025">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Computers: Each participant will need access to a computer with internet connectivity</w:t>
      </w:r>
    </w:p>
    <w:p w:rsidR="00000000" w:rsidDel="00000000" w:rsidP="00000000" w:rsidRDefault="00000000" w:rsidRPr="00000000" w14:paraId="0000002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Responsibility of the Instructor:</w:t>
      </w:r>
    </w:p>
    <w:p w:rsidR="00000000" w:rsidDel="00000000" w:rsidP="00000000" w:rsidRDefault="00000000" w:rsidRPr="00000000" w14:paraId="00000028">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Presentation materials</w:t>
      </w:r>
    </w:p>
    <w:p w:rsidR="00000000" w:rsidDel="00000000" w:rsidP="00000000" w:rsidRDefault="00000000" w:rsidRPr="00000000" w14:paraId="00000029">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Handouts or online resources on Kahoot and data analysis</w:t>
      </w:r>
    </w:p>
    <w:p w:rsidR="00000000" w:rsidDel="00000000" w:rsidP="00000000" w:rsidRDefault="00000000" w:rsidRPr="00000000" w14:paraId="0000002A">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student writing for participants to practice providing feedback</w:t>
      </w:r>
    </w:p>
    <w:p w:rsidR="00000000" w:rsidDel="00000000" w:rsidP="00000000" w:rsidRDefault="00000000" w:rsidRPr="00000000" w14:paraId="0000002B">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Whiteboard or flip chart</w:t>
      </w:r>
    </w:p>
    <w:p w:rsidR="00000000" w:rsidDel="00000000" w:rsidP="00000000" w:rsidRDefault="00000000" w:rsidRPr="00000000" w14:paraId="0000002C">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Canva Tutorial</w:t>
      </w:r>
    </w:p>
    <w:p w:rsidR="00000000" w:rsidDel="00000000" w:rsidP="00000000" w:rsidRDefault="00000000" w:rsidRPr="00000000" w14:paraId="0000002D">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Peer Review Guidelines</w:t>
      </w:r>
    </w:p>
    <w:p w:rsidR="00000000" w:rsidDel="00000000" w:rsidP="00000000" w:rsidRDefault="00000000" w:rsidRPr="00000000" w14:paraId="0000002E">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Handouts on gamification strategies and technology tools</w:t>
      </w:r>
    </w:p>
    <w:p w:rsidR="00000000" w:rsidDel="00000000" w:rsidP="00000000" w:rsidRDefault="00000000" w:rsidRPr="00000000" w14:paraId="0000002F">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Formative assessment templates</w:t>
      </w:r>
    </w:p>
    <w:p w:rsidR="00000000" w:rsidDel="00000000" w:rsidP="00000000" w:rsidRDefault="00000000" w:rsidRPr="00000000" w14:paraId="00000030">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 studies of successful gamification strategies and their impact on student engagement and learning outcomes</w:t>
      </w:r>
    </w:p>
    <w:p w:rsidR="00000000" w:rsidDel="00000000" w:rsidP="00000000" w:rsidRDefault="00000000" w:rsidRPr="00000000" w14:paraId="00000031">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Handouts or articles related to the benefits of personalized feedback and the use of ChatGPT in education</w:t>
      </w:r>
    </w:p>
    <w:p w:rsidR="00000000" w:rsidDel="00000000" w:rsidP="00000000" w:rsidRDefault="00000000" w:rsidRPr="00000000" w14:paraId="00000032">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 step-by-step guide for using ChatGPT to provide feedback</w:t>
      </w:r>
    </w:p>
    <w:p w:rsidR="00000000" w:rsidDel="00000000" w:rsidP="00000000" w:rsidRDefault="00000000" w:rsidRPr="00000000" w14:paraId="00000033">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Case studies or examples of effective assessment strategies</w:t>
      </w:r>
    </w:p>
    <w:p w:rsidR="00000000" w:rsidDel="00000000" w:rsidP="00000000" w:rsidRDefault="00000000" w:rsidRPr="00000000" w14:paraId="00000034">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Post-assessment activity materials such as a quiz or survey to evaluate participants' learning outcomes</w:t>
      </w:r>
    </w:p>
    <w:p w:rsidR="00000000" w:rsidDel="00000000" w:rsidP="00000000" w:rsidRDefault="00000000" w:rsidRPr="00000000" w14:paraId="00000035">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 summary of key takeaways from the session to distribute to participants.</w:t>
      </w:r>
    </w:p>
    <w:p w:rsidR="00000000" w:rsidDel="00000000" w:rsidP="00000000" w:rsidRDefault="00000000" w:rsidRPr="00000000" w14:paraId="00000036">
      <w:pPr>
        <w:rPr>
          <w:rFonts w:ascii="Nunito" w:cs="Nunito" w:eastAsia="Nunito" w:hAnsi="Nunito"/>
          <w:color w:val="374151"/>
          <w:sz w:val="24"/>
          <w:szCs w:val="24"/>
          <w:shd w:fill="f7f7f8" w:val="clear"/>
        </w:rPr>
      </w:pPr>
      <w:r w:rsidDel="00000000" w:rsidR="00000000" w:rsidRPr="00000000">
        <w:rPr>
          <w:rtl w:val="0"/>
        </w:rPr>
      </w:r>
    </w:p>
    <w:p w:rsidR="00000000" w:rsidDel="00000000" w:rsidP="00000000" w:rsidRDefault="00000000" w:rsidRPr="00000000" w14:paraId="00000037">
      <w:pPr>
        <w:rPr>
          <w:rFonts w:ascii="Nunito" w:cs="Nunito" w:eastAsia="Nunito" w:hAnsi="Nunito"/>
          <w:color w:val="374151"/>
          <w:sz w:val="24"/>
          <w:szCs w:val="24"/>
          <w:shd w:fill="f7f7f8" w:val="clear"/>
        </w:rPr>
      </w:pPr>
      <w:r w:rsidDel="00000000" w:rsidR="00000000" w:rsidRPr="00000000">
        <w:rPr>
          <w:rtl w:val="0"/>
        </w:rPr>
      </w:r>
    </w:p>
    <w:p w:rsidR="00000000" w:rsidDel="00000000" w:rsidP="00000000" w:rsidRDefault="00000000" w:rsidRPr="00000000" w14:paraId="00000038">
      <w:pPr>
        <w:ind w:left="0" w:firstLine="0"/>
        <w:rPr>
          <w:rFonts w:ascii="Nunito" w:cs="Nunito" w:eastAsia="Nunito" w:hAnsi="Nunito"/>
          <w:i w:val="1"/>
          <w:color w:val="505050"/>
          <w:sz w:val="24"/>
          <w:szCs w:val="24"/>
          <w:highlight w:val="white"/>
        </w:rPr>
      </w:pPr>
      <w:r w:rsidDel="00000000" w:rsidR="00000000" w:rsidRPr="00000000">
        <w:rPr>
          <w:rtl w:val="0"/>
        </w:rPr>
      </w:r>
    </w:p>
    <w:p w:rsidR="00000000" w:rsidDel="00000000" w:rsidP="00000000" w:rsidRDefault="00000000" w:rsidRPr="00000000" w14:paraId="00000039">
      <w:pPr>
        <w:pStyle w:val="Heading1"/>
        <w:keepNext w:val="0"/>
        <w:keepLines w:val="0"/>
        <w:spacing w:before="480" w:line="250.43478260869563" w:lineRule="auto"/>
        <w:jc w:val="center"/>
        <w:rPr>
          <w:rFonts w:ascii="Times New Roman" w:cs="Times New Roman" w:eastAsia="Times New Roman" w:hAnsi="Times New Roman"/>
          <w:b w:val="1"/>
          <w:color w:val="505050"/>
          <w:sz w:val="24"/>
          <w:szCs w:val="24"/>
          <w:highlight w:val="white"/>
        </w:rPr>
      </w:pPr>
      <w:bookmarkStart w:colFirst="0" w:colLast="0" w:name="_heading=h.3dy6vkm"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0"/>
        <w:keepLines w:val="0"/>
        <w:spacing w:before="480" w:line="250.43478260869563" w:lineRule="auto"/>
        <w:jc w:val="center"/>
        <w:rPr>
          <w:rFonts w:ascii="Times New Roman" w:cs="Times New Roman" w:eastAsia="Times New Roman" w:hAnsi="Times New Roman"/>
          <w:b w:val="1"/>
          <w:color w:val="505050"/>
          <w:sz w:val="24"/>
          <w:szCs w:val="24"/>
          <w:highlight w:val="white"/>
        </w:rPr>
      </w:pPr>
      <w:bookmarkStart w:colFirst="0" w:colLast="0" w:name="_heading=h.1t3h5sf" w:id="1"/>
      <w:bookmarkEnd w:id="1"/>
      <w:r w:rsidDel="00000000" w:rsidR="00000000" w:rsidRPr="00000000">
        <w:rPr>
          <w:rFonts w:ascii="Times New Roman" w:cs="Times New Roman" w:eastAsia="Times New Roman" w:hAnsi="Times New Roman"/>
          <w:b w:val="1"/>
          <w:color w:val="505050"/>
          <w:sz w:val="24"/>
          <w:szCs w:val="24"/>
          <w:highlight w:val="white"/>
          <w:rtl w:val="0"/>
        </w:rPr>
        <w:t xml:space="preserve">References</w:t>
      </w:r>
    </w:p>
    <w:p w:rsidR="00000000" w:rsidDel="00000000" w:rsidP="00000000" w:rsidRDefault="00000000" w:rsidRPr="00000000" w14:paraId="0000003B">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Adiwardana, D., Luong, M., So, D. R., Hall, J., Fiedel, N., Thoppilan, R., Yang, Z., Kulshreshtha, A., Nemade, G., Lu, Y., &amp; Le, Q. V. (2020). Towards a Human-like Open-Domain Chatbot. </w:t>
      </w:r>
      <w:r w:rsidDel="00000000" w:rsidR="00000000" w:rsidRPr="00000000">
        <w:rPr>
          <w:rFonts w:ascii="Times New Roman" w:cs="Times New Roman" w:eastAsia="Times New Roman" w:hAnsi="Times New Roman"/>
          <w:i w:val="1"/>
          <w:color w:val="505050"/>
          <w:sz w:val="24"/>
          <w:szCs w:val="24"/>
          <w:highlight w:val="white"/>
          <w:rtl w:val="0"/>
        </w:rPr>
        <w:t xml:space="preserve">ArXiv (Cornell University)</w:t>
      </w:r>
      <w:r w:rsidDel="00000000" w:rsidR="00000000" w:rsidRPr="00000000">
        <w:rPr>
          <w:rFonts w:ascii="Times New Roman" w:cs="Times New Roman" w:eastAsia="Times New Roman" w:hAnsi="Times New Roman"/>
          <w:color w:val="505050"/>
          <w:sz w:val="24"/>
          <w:szCs w:val="24"/>
          <w:highlight w:val="white"/>
          <w:rtl w:val="0"/>
        </w:rPr>
        <w:t xml:space="preserve">. https://arxiv.org/pdf/2001.09977.pdf</w:t>
      </w:r>
    </w:p>
    <w:p w:rsidR="00000000" w:rsidDel="00000000" w:rsidP="00000000" w:rsidRDefault="00000000" w:rsidRPr="00000000" w14:paraId="0000003C">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Ball, K. (2023, January 24). </w:t>
      </w:r>
      <w:r w:rsidDel="00000000" w:rsidR="00000000" w:rsidRPr="00000000">
        <w:rPr>
          <w:rFonts w:ascii="Times New Roman" w:cs="Times New Roman" w:eastAsia="Times New Roman" w:hAnsi="Times New Roman"/>
          <w:i w:val="1"/>
          <w:color w:val="505050"/>
          <w:sz w:val="24"/>
          <w:szCs w:val="24"/>
          <w:highlight w:val="white"/>
          <w:rtl w:val="0"/>
        </w:rPr>
        <w:t xml:space="preserve">How to create stunning interactive content with ThingLink and Canva</w:t>
      </w:r>
      <w:r w:rsidDel="00000000" w:rsidR="00000000" w:rsidRPr="00000000">
        <w:rPr>
          <w:rFonts w:ascii="Times New Roman" w:cs="Times New Roman" w:eastAsia="Times New Roman" w:hAnsi="Times New Roman"/>
          <w:color w:val="505050"/>
          <w:sz w:val="24"/>
          <w:szCs w:val="24"/>
          <w:highlight w:val="white"/>
          <w:rtl w:val="0"/>
        </w:rPr>
        <w:t xml:space="preserve">. ThingLink. https://www.thinglink.com/blog/canva/</w:t>
      </w:r>
    </w:p>
    <w:p w:rsidR="00000000" w:rsidDel="00000000" w:rsidP="00000000" w:rsidRDefault="00000000" w:rsidRPr="00000000" w14:paraId="0000003D">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Black-Rotchin, S., &amp; Cardoso, W. (2022). The development of the FineTune app. </w:t>
      </w:r>
      <w:r w:rsidDel="00000000" w:rsidR="00000000" w:rsidRPr="00000000">
        <w:rPr>
          <w:rFonts w:ascii="Times New Roman" w:cs="Times New Roman" w:eastAsia="Times New Roman" w:hAnsi="Times New Roman"/>
          <w:i w:val="1"/>
          <w:color w:val="505050"/>
          <w:sz w:val="24"/>
          <w:szCs w:val="24"/>
          <w:highlight w:val="white"/>
          <w:rtl w:val="0"/>
        </w:rPr>
        <w:t xml:space="preserve">Intelligent CALL, Granular Systems and Learner Data: Short Papers From EUROCALL 2022</w:t>
      </w:r>
      <w:r w:rsidDel="00000000" w:rsidR="00000000" w:rsidRPr="00000000">
        <w:rPr>
          <w:rFonts w:ascii="Times New Roman" w:cs="Times New Roman" w:eastAsia="Times New Roman" w:hAnsi="Times New Roman"/>
          <w:color w:val="505050"/>
          <w:sz w:val="24"/>
          <w:szCs w:val="24"/>
          <w:highlight w:val="white"/>
          <w:rtl w:val="0"/>
        </w:rPr>
        <w:t xml:space="preserve">, 24–29. https://doi.org/10.14705/rpnet.2022.61.1429</w:t>
      </w:r>
    </w:p>
    <w:p w:rsidR="00000000" w:rsidDel="00000000" w:rsidP="00000000" w:rsidRDefault="00000000" w:rsidRPr="00000000" w14:paraId="0000003E">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Canva. (2022a, March 14). </w:t>
      </w:r>
      <w:r w:rsidDel="00000000" w:rsidR="00000000" w:rsidRPr="00000000">
        <w:rPr>
          <w:rFonts w:ascii="Times New Roman" w:cs="Times New Roman" w:eastAsia="Times New Roman" w:hAnsi="Times New Roman"/>
          <w:i w:val="1"/>
          <w:color w:val="505050"/>
          <w:sz w:val="24"/>
          <w:szCs w:val="24"/>
          <w:highlight w:val="white"/>
          <w:rtl w:val="0"/>
        </w:rPr>
        <w:t xml:space="preserve">Engage Students with Presentations | Canva For Education</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https://www.youtube.com/watch?v=EMZlGtD91Po</w:t>
      </w:r>
    </w:p>
    <w:p w:rsidR="00000000" w:rsidDel="00000000" w:rsidP="00000000" w:rsidRDefault="00000000" w:rsidRPr="00000000" w14:paraId="0000003F">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Canva. (2022b, May 11). </w:t>
      </w:r>
      <w:r w:rsidDel="00000000" w:rsidR="00000000" w:rsidRPr="00000000">
        <w:rPr>
          <w:rFonts w:ascii="Times New Roman" w:cs="Times New Roman" w:eastAsia="Times New Roman" w:hAnsi="Times New Roman"/>
          <w:i w:val="1"/>
          <w:color w:val="505050"/>
          <w:sz w:val="24"/>
          <w:szCs w:val="24"/>
          <w:highlight w:val="white"/>
          <w:rtl w:val="0"/>
        </w:rPr>
        <w:t xml:space="preserve">How to search and edit templates | Canva for Teachers</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https://www.youtube.com/watch?v=gbYcvBHAQ_U</w:t>
      </w:r>
    </w:p>
    <w:p w:rsidR="00000000" w:rsidDel="00000000" w:rsidP="00000000" w:rsidRDefault="00000000" w:rsidRPr="00000000" w14:paraId="00000040">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Canva In The Classroom: Getting Started, Example Designs, And Tips!</w:t>
      </w:r>
      <w:r w:rsidDel="00000000" w:rsidR="00000000" w:rsidRPr="00000000">
        <w:rPr>
          <w:rFonts w:ascii="Times New Roman" w:cs="Times New Roman" w:eastAsia="Times New Roman" w:hAnsi="Times New Roman"/>
          <w:color w:val="505050"/>
          <w:sz w:val="24"/>
          <w:szCs w:val="24"/>
          <w:highlight w:val="white"/>
          <w:rtl w:val="0"/>
        </w:rPr>
        <w:t xml:space="preserve"> (n.d.). The Edublogger. https://www.theedublogger.com/canva/</w:t>
      </w:r>
    </w:p>
    <w:p w:rsidR="00000000" w:rsidDel="00000000" w:rsidP="00000000" w:rsidRDefault="00000000" w:rsidRPr="00000000" w14:paraId="00000041">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Chat GPT for Teachers in Education</w:t>
      </w:r>
      <w:r w:rsidDel="00000000" w:rsidR="00000000" w:rsidRPr="00000000">
        <w:rPr>
          <w:rFonts w:ascii="Times New Roman" w:cs="Times New Roman" w:eastAsia="Times New Roman" w:hAnsi="Times New Roman"/>
          <w:color w:val="505050"/>
          <w:sz w:val="24"/>
          <w:szCs w:val="24"/>
          <w:highlight w:val="white"/>
          <w:rtl w:val="0"/>
        </w:rPr>
        <w:t xml:space="preserve">. (2023, February 16). Udemy. https://www.udemy.com/course/chatgpt-in-education/</w:t>
      </w:r>
    </w:p>
    <w:p w:rsidR="00000000" w:rsidDel="00000000" w:rsidP="00000000" w:rsidRDefault="00000000" w:rsidRPr="00000000" w14:paraId="00000042">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Creech, J. (2023, January 15). </w:t>
      </w:r>
      <w:r w:rsidDel="00000000" w:rsidR="00000000" w:rsidRPr="00000000">
        <w:rPr>
          <w:rFonts w:ascii="Times New Roman" w:cs="Times New Roman" w:eastAsia="Times New Roman" w:hAnsi="Times New Roman"/>
          <w:i w:val="1"/>
          <w:color w:val="505050"/>
          <w:sz w:val="24"/>
          <w:szCs w:val="24"/>
          <w:highlight w:val="white"/>
          <w:rtl w:val="0"/>
        </w:rPr>
        <w:t xml:space="preserve">The Importance of Professional Development For Educators</w:t>
      </w:r>
      <w:r w:rsidDel="00000000" w:rsidR="00000000" w:rsidRPr="00000000">
        <w:rPr>
          <w:rFonts w:ascii="Times New Roman" w:cs="Times New Roman" w:eastAsia="Times New Roman" w:hAnsi="Times New Roman"/>
          <w:color w:val="505050"/>
          <w:sz w:val="24"/>
          <w:szCs w:val="24"/>
          <w:highlight w:val="white"/>
          <w:rtl w:val="0"/>
        </w:rPr>
        <w:t xml:space="preserve">. Qnstux. https://online.queens.edu/resources/article/professional-development-for-educators/</w:t>
      </w:r>
    </w:p>
    <w:p w:rsidR="00000000" w:rsidDel="00000000" w:rsidP="00000000" w:rsidRDefault="00000000" w:rsidRPr="00000000" w14:paraId="00000043">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Dicheva, D., Dichev, C., Agre, G., &amp; Angelova, G. (2015). Gamification in Education: A Systematic Mapping Study. </w:t>
      </w:r>
      <w:r w:rsidDel="00000000" w:rsidR="00000000" w:rsidRPr="00000000">
        <w:rPr>
          <w:rFonts w:ascii="Times New Roman" w:cs="Times New Roman" w:eastAsia="Times New Roman" w:hAnsi="Times New Roman"/>
          <w:i w:val="1"/>
          <w:color w:val="505050"/>
          <w:sz w:val="24"/>
          <w:szCs w:val="24"/>
          <w:highlight w:val="white"/>
          <w:rtl w:val="0"/>
        </w:rPr>
        <w:t xml:space="preserve">Educational Technology &amp; Society</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18</w:t>
      </w:r>
      <w:r w:rsidDel="00000000" w:rsidR="00000000" w:rsidRPr="00000000">
        <w:rPr>
          <w:rFonts w:ascii="Times New Roman" w:cs="Times New Roman" w:eastAsia="Times New Roman" w:hAnsi="Times New Roman"/>
          <w:color w:val="505050"/>
          <w:sz w:val="24"/>
          <w:szCs w:val="24"/>
          <w:highlight w:val="white"/>
          <w:rtl w:val="0"/>
        </w:rPr>
        <w:t xml:space="preserve">(3), 75–88. http://www.ifets.info/journals/18_3/6.pdf</w:t>
      </w:r>
    </w:p>
    <w:p w:rsidR="00000000" w:rsidDel="00000000" w:rsidP="00000000" w:rsidRDefault="00000000" w:rsidRPr="00000000" w14:paraId="00000044">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Discover inspiring innovators through history with The Henry Ford on Kahoot!</w:t>
      </w:r>
      <w:r w:rsidDel="00000000" w:rsidR="00000000" w:rsidRPr="00000000">
        <w:rPr>
          <w:rFonts w:ascii="Times New Roman" w:cs="Times New Roman" w:eastAsia="Times New Roman" w:hAnsi="Times New Roman"/>
          <w:color w:val="505050"/>
          <w:sz w:val="24"/>
          <w:szCs w:val="24"/>
          <w:highlight w:val="white"/>
          <w:rtl w:val="0"/>
        </w:rPr>
        <w:t xml:space="preserve"> (2023, March 2). Kahoot! https://kahoot.com/academy/</w:t>
      </w:r>
    </w:p>
    <w:p w:rsidR="00000000" w:rsidDel="00000000" w:rsidP="00000000" w:rsidRDefault="00000000" w:rsidRPr="00000000" w14:paraId="00000045">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Doolan, M. (2013). A Pedagogical Framework for Collaborative Learning in a Social Blended E-Learning Context. </w:t>
      </w:r>
      <w:r w:rsidDel="00000000" w:rsidR="00000000" w:rsidRPr="00000000">
        <w:rPr>
          <w:rFonts w:ascii="Times New Roman" w:cs="Times New Roman" w:eastAsia="Times New Roman" w:hAnsi="Times New Roman"/>
          <w:i w:val="1"/>
          <w:color w:val="505050"/>
          <w:sz w:val="24"/>
          <w:szCs w:val="24"/>
          <w:highlight w:val="white"/>
          <w:rtl w:val="0"/>
        </w:rPr>
        <w:t xml:space="preserve">Emerald Group Publishing Limited EBooks</w:t>
      </w:r>
      <w:r w:rsidDel="00000000" w:rsidR="00000000" w:rsidRPr="00000000">
        <w:rPr>
          <w:rFonts w:ascii="Times New Roman" w:cs="Times New Roman" w:eastAsia="Times New Roman" w:hAnsi="Times New Roman"/>
          <w:color w:val="505050"/>
          <w:sz w:val="24"/>
          <w:szCs w:val="24"/>
          <w:highlight w:val="white"/>
          <w:rtl w:val="0"/>
        </w:rPr>
        <w:t xml:space="preserve">, 261–285. https://doi.org/10.1108/s2044-9968(2013)000006g012</w:t>
      </w:r>
    </w:p>
    <w:p w:rsidR="00000000" w:rsidDel="00000000" w:rsidP="00000000" w:rsidRDefault="00000000" w:rsidRPr="00000000" w14:paraId="00000046">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Ertmer, P. A., Ottenbreit-Leftwich, A., Sadik, O., Şendurur, E., &amp; Şendurur, P. (2012). Teacher beliefs and technology integration practices: A critical relationship. </w:t>
      </w:r>
      <w:r w:rsidDel="00000000" w:rsidR="00000000" w:rsidRPr="00000000">
        <w:rPr>
          <w:rFonts w:ascii="Times New Roman" w:cs="Times New Roman" w:eastAsia="Times New Roman" w:hAnsi="Times New Roman"/>
          <w:i w:val="1"/>
          <w:color w:val="505050"/>
          <w:sz w:val="24"/>
          <w:szCs w:val="24"/>
          <w:highlight w:val="white"/>
          <w:rtl w:val="0"/>
        </w:rPr>
        <w:t xml:space="preserve">Computers &amp; Education</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59</w:t>
      </w:r>
      <w:r w:rsidDel="00000000" w:rsidR="00000000" w:rsidRPr="00000000">
        <w:rPr>
          <w:rFonts w:ascii="Times New Roman" w:cs="Times New Roman" w:eastAsia="Times New Roman" w:hAnsi="Times New Roman"/>
          <w:color w:val="505050"/>
          <w:sz w:val="24"/>
          <w:szCs w:val="24"/>
          <w:highlight w:val="white"/>
          <w:rtl w:val="0"/>
        </w:rPr>
        <w:t xml:space="preserve">(2), 423–435. https://doi.org/10.1016/j.compedu.2012.02.001</w:t>
      </w:r>
    </w:p>
    <w:p w:rsidR="00000000" w:rsidDel="00000000" w:rsidP="00000000" w:rsidRDefault="00000000" w:rsidRPr="00000000" w14:paraId="00000047">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Extra History. (2012, May 13). </w:t>
      </w:r>
      <w:r w:rsidDel="00000000" w:rsidR="00000000" w:rsidRPr="00000000">
        <w:rPr>
          <w:rFonts w:ascii="Times New Roman" w:cs="Times New Roman" w:eastAsia="Times New Roman" w:hAnsi="Times New Roman"/>
          <w:i w:val="1"/>
          <w:color w:val="505050"/>
          <w:sz w:val="24"/>
          <w:szCs w:val="24"/>
          <w:highlight w:val="white"/>
          <w:rtl w:val="0"/>
        </w:rPr>
        <w:t xml:space="preserve">Gamifying Education - How to Make Your Classroom Truly Engaging - Extra Credits</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https://www.youtube.com/watch?v=MuDLw1zIc94</w:t>
      </w:r>
    </w:p>
    <w:p w:rsidR="00000000" w:rsidDel="00000000" w:rsidP="00000000" w:rsidRDefault="00000000" w:rsidRPr="00000000" w14:paraId="00000048">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Foote, J. R., Holtby, A., &amp; Derwing, T. M. (2012). Survey of the Teaching of Pronunciation in Adult ESL Programs in Canada, 2010. </w:t>
      </w:r>
      <w:r w:rsidDel="00000000" w:rsidR="00000000" w:rsidRPr="00000000">
        <w:rPr>
          <w:rFonts w:ascii="Times New Roman" w:cs="Times New Roman" w:eastAsia="Times New Roman" w:hAnsi="Times New Roman"/>
          <w:i w:val="1"/>
          <w:color w:val="505050"/>
          <w:sz w:val="24"/>
          <w:szCs w:val="24"/>
          <w:highlight w:val="white"/>
          <w:rtl w:val="0"/>
        </w:rPr>
        <w:t xml:space="preserve">TESL Canada Journal</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29</w:t>
      </w:r>
      <w:r w:rsidDel="00000000" w:rsidR="00000000" w:rsidRPr="00000000">
        <w:rPr>
          <w:rFonts w:ascii="Times New Roman" w:cs="Times New Roman" w:eastAsia="Times New Roman" w:hAnsi="Times New Roman"/>
          <w:color w:val="505050"/>
          <w:sz w:val="24"/>
          <w:szCs w:val="24"/>
          <w:highlight w:val="white"/>
          <w:rtl w:val="0"/>
        </w:rPr>
        <w:t xml:space="preserve">(1), 1. https://doi.org/10.18806/tesl.v29i1.1086</w:t>
      </w:r>
    </w:p>
    <w:p w:rsidR="00000000" w:rsidDel="00000000" w:rsidP="00000000" w:rsidRDefault="00000000" w:rsidRPr="00000000" w14:paraId="00000049">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Game Design Foundations: 1 Ideas, Core Loops, and Goals Online Class | LinkedIn Learning, formerly Lynda.com</w:t>
      </w:r>
      <w:r w:rsidDel="00000000" w:rsidR="00000000" w:rsidRPr="00000000">
        <w:rPr>
          <w:rFonts w:ascii="Times New Roman" w:cs="Times New Roman" w:eastAsia="Times New Roman" w:hAnsi="Times New Roman"/>
          <w:color w:val="505050"/>
          <w:sz w:val="24"/>
          <w:szCs w:val="24"/>
          <w:highlight w:val="white"/>
          <w:rtl w:val="0"/>
        </w:rPr>
        <w:t xml:space="preserve">. (2017, November 7). [Video]. LinkedIn. https://www.linkedin.com/learning/game-design-foundations</w:t>
      </w:r>
    </w:p>
    <w:p w:rsidR="00000000" w:rsidDel="00000000" w:rsidP="00000000" w:rsidRDefault="00000000" w:rsidRPr="00000000" w14:paraId="0000004A">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Gamification for Interactive Learning Online Class | LinkedIn Learning, formerly Lynda.com</w:t>
      </w:r>
      <w:r w:rsidDel="00000000" w:rsidR="00000000" w:rsidRPr="00000000">
        <w:rPr>
          <w:rFonts w:ascii="Times New Roman" w:cs="Times New Roman" w:eastAsia="Times New Roman" w:hAnsi="Times New Roman"/>
          <w:color w:val="505050"/>
          <w:sz w:val="24"/>
          <w:szCs w:val="24"/>
          <w:highlight w:val="white"/>
          <w:rtl w:val="0"/>
        </w:rPr>
        <w:t xml:space="preserve">. (2017, May 11). [Video]. LinkedIn. https://www.linkedin.com/learning/gamification-for-interactive-learning</w:t>
      </w:r>
    </w:p>
    <w:p w:rsidR="00000000" w:rsidDel="00000000" w:rsidP="00000000" w:rsidRDefault="00000000" w:rsidRPr="00000000" w14:paraId="0000004B">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Gamification of Learning Online Class | LinkedIn Learning, formerly Lynda.com</w:t>
      </w:r>
      <w:r w:rsidDel="00000000" w:rsidR="00000000" w:rsidRPr="00000000">
        <w:rPr>
          <w:rFonts w:ascii="Times New Roman" w:cs="Times New Roman" w:eastAsia="Times New Roman" w:hAnsi="Times New Roman"/>
          <w:color w:val="505050"/>
          <w:sz w:val="24"/>
          <w:szCs w:val="24"/>
          <w:highlight w:val="white"/>
          <w:rtl w:val="0"/>
        </w:rPr>
        <w:t xml:space="preserve">. (2014, October 9). [Video]. LinkedIn. https://www.linkedin.com/learning/gamification-of-learning</w:t>
      </w:r>
    </w:p>
    <w:p w:rsidR="00000000" w:rsidDel="00000000" w:rsidP="00000000" w:rsidRDefault="00000000" w:rsidRPr="00000000" w14:paraId="0000004C">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Golubeva, D. (2021, February 11). </w:t>
      </w:r>
      <w:r w:rsidDel="00000000" w:rsidR="00000000" w:rsidRPr="00000000">
        <w:rPr>
          <w:rFonts w:ascii="Times New Roman" w:cs="Times New Roman" w:eastAsia="Times New Roman" w:hAnsi="Times New Roman"/>
          <w:i w:val="1"/>
          <w:color w:val="505050"/>
          <w:sz w:val="24"/>
          <w:szCs w:val="24"/>
          <w:highlight w:val="white"/>
          <w:rtl w:val="0"/>
        </w:rPr>
        <w:t xml:space="preserve">How to use Kahoot! for formative assessment and insights-driven instruction</w:t>
      </w:r>
      <w:r w:rsidDel="00000000" w:rsidR="00000000" w:rsidRPr="00000000">
        <w:rPr>
          <w:rFonts w:ascii="Times New Roman" w:cs="Times New Roman" w:eastAsia="Times New Roman" w:hAnsi="Times New Roman"/>
          <w:color w:val="505050"/>
          <w:sz w:val="24"/>
          <w:szCs w:val="24"/>
          <w:highlight w:val="white"/>
          <w:rtl w:val="0"/>
        </w:rPr>
        <w:t xml:space="preserve">. Kahoot! https://kahoot.com/blog/2021/02/11/formative-assessment-kahoot/#:~:text=You%20can%20combine%20several%20kahoots,to%20further%20deepen%20the%20assessment.</w:t>
      </w:r>
    </w:p>
    <w:p w:rsidR="00000000" w:rsidDel="00000000" w:rsidP="00000000" w:rsidRDefault="00000000" w:rsidRPr="00000000" w14:paraId="0000004D">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Harris, P. L., Connolly, J. E., &amp; Feeney, L. (2009). Blended learning: overview and recommendations for successful implementation. </w:t>
      </w:r>
      <w:r w:rsidDel="00000000" w:rsidR="00000000" w:rsidRPr="00000000">
        <w:rPr>
          <w:rFonts w:ascii="Times New Roman" w:cs="Times New Roman" w:eastAsia="Times New Roman" w:hAnsi="Times New Roman"/>
          <w:i w:val="1"/>
          <w:color w:val="505050"/>
          <w:sz w:val="24"/>
          <w:szCs w:val="24"/>
          <w:highlight w:val="white"/>
          <w:rtl w:val="0"/>
        </w:rPr>
        <w:t xml:space="preserve">Industrial and Commercial Training</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41</w:t>
      </w:r>
      <w:r w:rsidDel="00000000" w:rsidR="00000000" w:rsidRPr="00000000">
        <w:rPr>
          <w:rFonts w:ascii="Times New Roman" w:cs="Times New Roman" w:eastAsia="Times New Roman" w:hAnsi="Times New Roman"/>
          <w:color w:val="505050"/>
          <w:sz w:val="24"/>
          <w:szCs w:val="24"/>
          <w:highlight w:val="white"/>
          <w:rtl w:val="0"/>
        </w:rPr>
        <w:t xml:space="preserve">(3), 155–163. https://doi.org/10.1108/00197850910950961</w:t>
      </w:r>
    </w:p>
    <w:p w:rsidR="00000000" w:rsidDel="00000000" w:rsidP="00000000" w:rsidRDefault="00000000" w:rsidRPr="00000000" w14:paraId="0000004E">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Hwang, G., &amp; Chang, C. (2021). A review of opportunities and challenges of chatbots in education. </w:t>
      </w:r>
      <w:r w:rsidDel="00000000" w:rsidR="00000000" w:rsidRPr="00000000">
        <w:rPr>
          <w:rFonts w:ascii="Times New Roman" w:cs="Times New Roman" w:eastAsia="Times New Roman" w:hAnsi="Times New Roman"/>
          <w:i w:val="1"/>
          <w:color w:val="505050"/>
          <w:sz w:val="24"/>
          <w:szCs w:val="24"/>
          <w:highlight w:val="white"/>
          <w:rtl w:val="0"/>
        </w:rPr>
        <w:t xml:space="preserve">Interactive Learning Environments</w:t>
      </w:r>
      <w:r w:rsidDel="00000000" w:rsidR="00000000" w:rsidRPr="00000000">
        <w:rPr>
          <w:rFonts w:ascii="Times New Roman" w:cs="Times New Roman" w:eastAsia="Times New Roman" w:hAnsi="Times New Roman"/>
          <w:color w:val="505050"/>
          <w:sz w:val="24"/>
          <w:szCs w:val="24"/>
          <w:highlight w:val="white"/>
          <w:rtl w:val="0"/>
        </w:rPr>
        <w:t xml:space="preserve">, 1–14. https://doi.org/10.1080/10494820.2021.1952615</w:t>
      </w:r>
    </w:p>
    <w:p w:rsidR="00000000" w:rsidDel="00000000" w:rsidP="00000000" w:rsidRDefault="00000000" w:rsidRPr="00000000" w14:paraId="0000004F">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i w:val="1"/>
          <w:color w:val="505050"/>
          <w:sz w:val="24"/>
          <w:szCs w:val="24"/>
          <w:highlight w:val="white"/>
          <w:rtl w:val="0"/>
        </w:rPr>
        <w:t xml:space="preserve">ISTE</w:t>
      </w:r>
      <w:r w:rsidDel="00000000" w:rsidR="00000000" w:rsidRPr="00000000">
        <w:rPr>
          <w:rFonts w:ascii="Times New Roman" w:cs="Times New Roman" w:eastAsia="Times New Roman" w:hAnsi="Times New Roman"/>
          <w:color w:val="505050"/>
          <w:sz w:val="24"/>
          <w:szCs w:val="24"/>
          <w:highlight w:val="white"/>
          <w:rtl w:val="0"/>
        </w:rPr>
        <w:t xml:space="preserve">. (n.d.). https://www.iste.org/standards/for-educators</w:t>
      </w:r>
    </w:p>
    <w:p w:rsidR="00000000" w:rsidDel="00000000" w:rsidP="00000000" w:rsidRDefault="00000000" w:rsidRPr="00000000" w14:paraId="00000050">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Jonassen, D. H. (2013). Handbook of Research on Educational Communications and Technology. </w:t>
      </w:r>
      <w:r w:rsidDel="00000000" w:rsidR="00000000" w:rsidRPr="00000000">
        <w:rPr>
          <w:rFonts w:ascii="Times New Roman" w:cs="Times New Roman" w:eastAsia="Times New Roman" w:hAnsi="Times New Roman"/>
          <w:i w:val="1"/>
          <w:color w:val="505050"/>
          <w:sz w:val="24"/>
          <w:szCs w:val="24"/>
          <w:highlight w:val="white"/>
          <w:rtl w:val="0"/>
        </w:rPr>
        <w:t xml:space="preserve">Routledge EBooks</w:t>
      </w:r>
      <w:r w:rsidDel="00000000" w:rsidR="00000000" w:rsidRPr="00000000">
        <w:rPr>
          <w:rFonts w:ascii="Times New Roman" w:cs="Times New Roman" w:eastAsia="Times New Roman" w:hAnsi="Times New Roman"/>
          <w:color w:val="505050"/>
          <w:sz w:val="24"/>
          <w:szCs w:val="24"/>
          <w:highlight w:val="white"/>
          <w:rtl w:val="0"/>
        </w:rPr>
        <w:t xml:space="preserve">. https://doi.org/10.4324/9781410609519</w:t>
      </w:r>
    </w:p>
    <w:p w:rsidR="00000000" w:rsidDel="00000000" w:rsidP="00000000" w:rsidRDefault="00000000" w:rsidRPr="00000000" w14:paraId="00000051">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Kahoot! (2020, May 7). </w:t>
      </w:r>
      <w:r w:rsidDel="00000000" w:rsidR="00000000" w:rsidRPr="00000000">
        <w:rPr>
          <w:rFonts w:ascii="Times New Roman" w:cs="Times New Roman" w:eastAsia="Times New Roman" w:hAnsi="Times New Roman"/>
          <w:i w:val="1"/>
          <w:color w:val="505050"/>
          <w:sz w:val="24"/>
          <w:szCs w:val="24"/>
          <w:highlight w:val="white"/>
          <w:rtl w:val="0"/>
        </w:rPr>
        <w:t xml:space="preserve">How to use Kahoot! reports to assess learning outcomes</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https://www.youtube.com/watch?v=L6vJsGWMvfc</w:t>
      </w:r>
    </w:p>
    <w:p w:rsidR="00000000" w:rsidDel="00000000" w:rsidP="00000000" w:rsidRDefault="00000000" w:rsidRPr="00000000" w14:paraId="00000052">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Kuh, G. D. (2009). What Student Affairs Professionals Need to Know About Student Engagement. </w:t>
      </w:r>
      <w:r w:rsidDel="00000000" w:rsidR="00000000" w:rsidRPr="00000000">
        <w:rPr>
          <w:rFonts w:ascii="Times New Roman" w:cs="Times New Roman" w:eastAsia="Times New Roman" w:hAnsi="Times New Roman"/>
          <w:i w:val="1"/>
          <w:color w:val="505050"/>
          <w:sz w:val="24"/>
          <w:szCs w:val="24"/>
          <w:highlight w:val="white"/>
          <w:rtl w:val="0"/>
        </w:rPr>
        <w:t xml:space="preserve">Journal of College Student Development</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50</w:t>
      </w:r>
      <w:r w:rsidDel="00000000" w:rsidR="00000000" w:rsidRPr="00000000">
        <w:rPr>
          <w:rFonts w:ascii="Times New Roman" w:cs="Times New Roman" w:eastAsia="Times New Roman" w:hAnsi="Times New Roman"/>
          <w:color w:val="505050"/>
          <w:sz w:val="24"/>
          <w:szCs w:val="24"/>
          <w:highlight w:val="white"/>
          <w:rtl w:val="0"/>
        </w:rPr>
        <w:t xml:space="preserve">(6), 683–706. https://doi.org/10.1353/csd.0.0099</w:t>
      </w:r>
    </w:p>
    <w:p w:rsidR="00000000" w:rsidDel="00000000" w:rsidP="00000000" w:rsidRDefault="00000000" w:rsidRPr="00000000" w14:paraId="00000053">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Landers, R., &amp; Landers, A. L. (2014). An Empirical Test of the Theory of Gamified Learning. </w:t>
      </w:r>
      <w:r w:rsidDel="00000000" w:rsidR="00000000" w:rsidRPr="00000000">
        <w:rPr>
          <w:rFonts w:ascii="Times New Roman" w:cs="Times New Roman" w:eastAsia="Times New Roman" w:hAnsi="Times New Roman"/>
          <w:i w:val="1"/>
          <w:color w:val="505050"/>
          <w:sz w:val="24"/>
          <w:szCs w:val="24"/>
          <w:highlight w:val="white"/>
          <w:rtl w:val="0"/>
        </w:rPr>
        <w:t xml:space="preserve">Simulation &amp; Gaming</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45</w:t>
      </w:r>
      <w:r w:rsidDel="00000000" w:rsidR="00000000" w:rsidRPr="00000000">
        <w:rPr>
          <w:rFonts w:ascii="Times New Roman" w:cs="Times New Roman" w:eastAsia="Times New Roman" w:hAnsi="Times New Roman"/>
          <w:color w:val="505050"/>
          <w:sz w:val="24"/>
          <w:szCs w:val="24"/>
          <w:highlight w:val="white"/>
          <w:rtl w:val="0"/>
        </w:rPr>
        <w:t xml:space="preserve">(6), 769–785. https://doi.org/10.1177/1046878114563662</w:t>
      </w:r>
    </w:p>
    <w:p w:rsidR="00000000" w:rsidDel="00000000" w:rsidP="00000000" w:rsidRDefault="00000000" w:rsidRPr="00000000" w14:paraId="00000054">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Learning and Technology with Frank. (2022, December 20). </w:t>
      </w:r>
      <w:r w:rsidDel="00000000" w:rsidR="00000000" w:rsidRPr="00000000">
        <w:rPr>
          <w:rFonts w:ascii="Times New Roman" w:cs="Times New Roman" w:eastAsia="Times New Roman" w:hAnsi="Times New Roman"/>
          <w:i w:val="1"/>
          <w:color w:val="505050"/>
          <w:sz w:val="24"/>
          <w:szCs w:val="24"/>
          <w:highlight w:val="white"/>
          <w:rtl w:val="0"/>
        </w:rPr>
        <w:t xml:space="preserve">Revolutionizing Education with ChatGPT: How AI is Transforming the Way We Learn</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https://www.youtube.com/watch?v=ZoXt2KahxXI</w:t>
      </w:r>
    </w:p>
    <w:p w:rsidR="00000000" w:rsidDel="00000000" w:rsidP="00000000" w:rsidRDefault="00000000" w:rsidRPr="00000000" w14:paraId="00000055">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Leow, F. (2014). Interactive Multimedia Learning: Innovating Classroom Education in a Malaysian University. </w:t>
      </w:r>
      <w:r w:rsidDel="00000000" w:rsidR="00000000" w:rsidRPr="00000000">
        <w:rPr>
          <w:rFonts w:ascii="Times New Roman" w:cs="Times New Roman" w:eastAsia="Times New Roman" w:hAnsi="Times New Roman"/>
          <w:i w:val="1"/>
          <w:color w:val="505050"/>
          <w:sz w:val="24"/>
          <w:szCs w:val="24"/>
          <w:highlight w:val="white"/>
          <w:rtl w:val="0"/>
        </w:rPr>
        <w:t xml:space="preserve">Turkish Online Journal of Educational Technology</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13</w:t>
      </w:r>
      <w:r w:rsidDel="00000000" w:rsidR="00000000" w:rsidRPr="00000000">
        <w:rPr>
          <w:rFonts w:ascii="Times New Roman" w:cs="Times New Roman" w:eastAsia="Times New Roman" w:hAnsi="Times New Roman"/>
          <w:color w:val="505050"/>
          <w:sz w:val="24"/>
          <w:szCs w:val="24"/>
          <w:highlight w:val="white"/>
          <w:rtl w:val="0"/>
        </w:rPr>
        <w:t xml:space="preserve">(2), 99–110. http://files.eric.ed.gov/fulltext/EJ1022913.pdf</w:t>
      </w:r>
    </w:p>
    <w:p w:rsidR="00000000" w:rsidDel="00000000" w:rsidP="00000000" w:rsidRDefault="00000000" w:rsidRPr="00000000" w14:paraId="00000056">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Lipp, G. (2017, June 7). </w:t>
      </w:r>
      <w:r w:rsidDel="00000000" w:rsidR="00000000" w:rsidRPr="00000000">
        <w:rPr>
          <w:rFonts w:ascii="Times New Roman" w:cs="Times New Roman" w:eastAsia="Times New Roman" w:hAnsi="Times New Roman"/>
          <w:i w:val="1"/>
          <w:color w:val="505050"/>
          <w:sz w:val="24"/>
          <w:szCs w:val="24"/>
          <w:highlight w:val="white"/>
          <w:rtl w:val="0"/>
        </w:rPr>
        <w:t xml:space="preserve">Kahoot! as Formative Assessment</w:t>
      </w:r>
      <w:r w:rsidDel="00000000" w:rsidR="00000000" w:rsidRPr="00000000">
        <w:rPr>
          <w:rFonts w:ascii="Times New Roman" w:cs="Times New Roman" w:eastAsia="Times New Roman" w:hAnsi="Times New Roman"/>
          <w:color w:val="505050"/>
          <w:sz w:val="24"/>
          <w:szCs w:val="24"/>
          <w:highlight w:val="white"/>
          <w:rtl w:val="0"/>
        </w:rPr>
        <w:t xml:space="preserve">. Duke Learning Innovation. https://learninginnovation.duke.edu/blog/2015/07/kahoot-as-formative-assessment/</w:t>
      </w:r>
    </w:p>
    <w:p w:rsidR="00000000" w:rsidDel="00000000" w:rsidP="00000000" w:rsidRDefault="00000000" w:rsidRPr="00000000" w14:paraId="00000057">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Mattison, L. (2018, December). Ethical Issues with Using Technology in the Classroom. </w:t>
      </w:r>
      <w:r w:rsidDel="00000000" w:rsidR="00000000" w:rsidRPr="00000000">
        <w:rPr>
          <w:rFonts w:ascii="Times New Roman" w:cs="Times New Roman" w:eastAsia="Times New Roman" w:hAnsi="Times New Roman"/>
          <w:i w:val="1"/>
          <w:color w:val="505050"/>
          <w:sz w:val="24"/>
          <w:szCs w:val="24"/>
          <w:highlight w:val="white"/>
          <w:rtl w:val="0"/>
        </w:rPr>
        <w:t xml:space="preserve">Study.Com</w:t>
      </w:r>
      <w:r w:rsidDel="00000000" w:rsidR="00000000" w:rsidRPr="00000000">
        <w:rPr>
          <w:rFonts w:ascii="Times New Roman" w:cs="Times New Roman" w:eastAsia="Times New Roman" w:hAnsi="Times New Roman"/>
          <w:color w:val="505050"/>
          <w:sz w:val="24"/>
          <w:szCs w:val="24"/>
          <w:highlight w:val="white"/>
          <w:rtl w:val="0"/>
        </w:rPr>
        <w:t xml:space="preserve">. https://study.com/blog/ethical-issues-with-using-technology-in-the-classroom.html</w:t>
      </w:r>
    </w:p>
    <w:p w:rsidR="00000000" w:rsidDel="00000000" w:rsidP="00000000" w:rsidRDefault="00000000" w:rsidRPr="00000000" w14:paraId="00000058">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McMillan, J. R. (2013). SAGE Handbook of Research on Classroom Assessment. </w:t>
      </w:r>
      <w:r w:rsidDel="00000000" w:rsidR="00000000" w:rsidRPr="00000000">
        <w:rPr>
          <w:rFonts w:ascii="Times New Roman" w:cs="Times New Roman" w:eastAsia="Times New Roman" w:hAnsi="Times New Roman"/>
          <w:i w:val="1"/>
          <w:color w:val="505050"/>
          <w:sz w:val="24"/>
          <w:szCs w:val="24"/>
          <w:highlight w:val="white"/>
          <w:rtl w:val="0"/>
        </w:rPr>
        <w:t xml:space="preserve">SAGE Publications, Inc. EBooks</w:t>
      </w:r>
      <w:r w:rsidDel="00000000" w:rsidR="00000000" w:rsidRPr="00000000">
        <w:rPr>
          <w:rFonts w:ascii="Times New Roman" w:cs="Times New Roman" w:eastAsia="Times New Roman" w:hAnsi="Times New Roman"/>
          <w:color w:val="505050"/>
          <w:sz w:val="24"/>
          <w:szCs w:val="24"/>
          <w:highlight w:val="white"/>
          <w:rtl w:val="0"/>
        </w:rPr>
        <w:t xml:space="preserve">. https://doi.org/10.4135/9781452218649</w:t>
      </w:r>
    </w:p>
    <w:p w:rsidR="00000000" w:rsidDel="00000000" w:rsidP="00000000" w:rsidRDefault="00000000" w:rsidRPr="00000000" w14:paraId="00000059">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Ministry of Education and Child Care. (2022, March 15). </w:t>
      </w:r>
      <w:r w:rsidDel="00000000" w:rsidR="00000000" w:rsidRPr="00000000">
        <w:rPr>
          <w:rFonts w:ascii="Times New Roman" w:cs="Times New Roman" w:eastAsia="Times New Roman" w:hAnsi="Times New Roman"/>
          <w:i w:val="1"/>
          <w:color w:val="505050"/>
          <w:sz w:val="24"/>
          <w:szCs w:val="24"/>
          <w:highlight w:val="white"/>
          <w:rtl w:val="0"/>
        </w:rPr>
        <w:t xml:space="preserve">Digital Literacy - Province of British Columbia</w:t>
      </w:r>
      <w:r w:rsidDel="00000000" w:rsidR="00000000" w:rsidRPr="00000000">
        <w:rPr>
          <w:rFonts w:ascii="Times New Roman" w:cs="Times New Roman" w:eastAsia="Times New Roman" w:hAnsi="Times New Roman"/>
          <w:color w:val="505050"/>
          <w:sz w:val="24"/>
          <w:szCs w:val="24"/>
          <w:highlight w:val="white"/>
          <w:rtl w:val="0"/>
        </w:rPr>
        <w:t xml:space="preserve">. https://www2.gov.bc.ca/gov/content/education-training/k-12/teach/resources-for-teachers/digital-literacy</w:t>
      </w:r>
    </w:p>
    <w:p w:rsidR="00000000" w:rsidDel="00000000" w:rsidP="00000000" w:rsidRDefault="00000000" w:rsidRPr="00000000" w14:paraId="0000005A">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Ozan, C., &amp; Kincal, R. Y. (2018). The Effects of Formative Assessment on Academic Achievement, Attitudes toward the Lesson, and Self-Regulation Skills. </w:t>
      </w:r>
      <w:r w:rsidDel="00000000" w:rsidR="00000000" w:rsidRPr="00000000">
        <w:rPr>
          <w:rFonts w:ascii="Times New Roman" w:cs="Times New Roman" w:eastAsia="Times New Roman" w:hAnsi="Times New Roman"/>
          <w:i w:val="1"/>
          <w:color w:val="505050"/>
          <w:sz w:val="24"/>
          <w:szCs w:val="24"/>
          <w:highlight w:val="white"/>
          <w:rtl w:val="0"/>
        </w:rPr>
        <w:t xml:space="preserve">Kuram Ve Uygulamada Eğitim Bilimleri</w:t>
      </w:r>
      <w:r w:rsidDel="00000000" w:rsidR="00000000" w:rsidRPr="00000000">
        <w:rPr>
          <w:rFonts w:ascii="Times New Roman" w:cs="Times New Roman" w:eastAsia="Times New Roman" w:hAnsi="Times New Roman"/>
          <w:color w:val="505050"/>
          <w:sz w:val="24"/>
          <w:szCs w:val="24"/>
          <w:highlight w:val="white"/>
          <w:rtl w:val="0"/>
        </w:rPr>
        <w:t xml:space="preserve">. https://doi.org/10.12738/estp.2018.1.0216</w:t>
      </w:r>
    </w:p>
    <w:p w:rsidR="00000000" w:rsidDel="00000000" w:rsidP="00000000" w:rsidRDefault="00000000" w:rsidRPr="00000000" w14:paraId="0000005B">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PCPD Desk. (2020, July 17). </w:t>
      </w:r>
      <w:r w:rsidDel="00000000" w:rsidR="00000000" w:rsidRPr="00000000">
        <w:rPr>
          <w:rFonts w:ascii="Times New Roman" w:cs="Times New Roman" w:eastAsia="Times New Roman" w:hAnsi="Times New Roman"/>
          <w:i w:val="1"/>
          <w:color w:val="505050"/>
          <w:sz w:val="24"/>
          <w:szCs w:val="24"/>
          <w:highlight w:val="white"/>
          <w:rtl w:val="0"/>
        </w:rPr>
        <w:t xml:space="preserve">Ethical Issues in Using Technology in the Classroom</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https://www.youtube.com/watch?v=0XxAI9G4JqY</w:t>
      </w:r>
    </w:p>
    <w:p w:rsidR="00000000" w:rsidDel="00000000" w:rsidP="00000000" w:rsidRDefault="00000000" w:rsidRPr="00000000" w14:paraId="0000005C">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TEDx Talks. (2018, May 7). </w:t>
      </w:r>
      <w:r w:rsidDel="00000000" w:rsidR="00000000" w:rsidRPr="00000000">
        <w:rPr>
          <w:rFonts w:ascii="Times New Roman" w:cs="Times New Roman" w:eastAsia="Times New Roman" w:hAnsi="Times New Roman"/>
          <w:i w:val="1"/>
          <w:color w:val="505050"/>
          <w:sz w:val="24"/>
          <w:szCs w:val="24"/>
          <w:highlight w:val="white"/>
          <w:rtl w:val="0"/>
        </w:rPr>
        <w:t xml:space="preserve">The Power of Gamification in Education | Scott Hebert | TEDxUAlberta</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https://www.youtube.com/watch?v=mOssYTimQwM</w:t>
      </w:r>
    </w:p>
    <w:p w:rsidR="00000000" w:rsidDel="00000000" w:rsidP="00000000" w:rsidRDefault="00000000" w:rsidRPr="00000000" w14:paraId="0000005D">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TEDxYouth. (2011, June 9). </w:t>
      </w:r>
      <w:r w:rsidDel="00000000" w:rsidR="00000000" w:rsidRPr="00000000">
        <w:rPr>
          <w:rFonts w:ascii="Times New Roman" w:cs="Times New Roman" w:eastAsia="Times New Roman" w:hAnsi="Times New Roman"/>
          <w:i w:val="1"/>
          <w:color w:val="505050"/>
          <w:sz w:val="24"/>
          <w:szCs w:val="24"/>
          <w:highlight w:val="white"/>
          <w:rtl w:val="0"/>
        </w:rPr>
        <w:t xml:space="preserve">TEDxKids@Brussels - Gabe Zichermann - Gamification</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https://www.youtube.com/watch?v=O2N-5maKZ9Q</w:t>
      </w:r>
    </w:p>
    <w:p w:rsidR="00000000" w:rsidDel="00000000" w:rsidP="00000000" w:rsidRDefault="00000000" w:rsidRPr="00000000" w14:paraId="0000005E">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The Atlantic. (2017, October 4). </w:t>
      </w:r>
      <w:r w:rsidDel="00000000" w:rsidR="00000000" w:rsidRPr="00000000">
        <w:rPr>
          <w:rFonts w:ascii="Times New Roman" w:cs="Times New Roman" w:eastAsia="Times New Roman" w:hAnsi="Times New Roman"/>
          <w:i w:val="1"/>
          <w:color w:val="505050"/>
          <w:sz w:val="24"/>
          <w:szCs w:val="24"/>
          <w:highlight w:val="white"/>
          <w:rtl w:val="0"/>
        </w:rPr>
        <w:t xml:space="preserve">Does Technology Need to Be Ethical?</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https://www.youtube.com/watch?v=RoZ-WF5Z_1E</w:t>
      </w:r>
    </w:p>
    <w:p w:rsidR="00000000" w:rsidDel="00000000" w:rsidP="00000000" w:rsidRDefault="00000000" w:rsidRPr="00000000" w14:paraId="0000005F">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TODAY. (2023, January 25). </w:t>
      </w:r>
      <w:r w:rsidDel="00000000" w:rsidR="00000000" w:rsidRPr="00000000">
        <w:rPr>
          <w:rFonts w:ascii="Times New Roman" w:cs="Times New Roman" w:eastAsia="Times New Roman" w:hAnsi="Times New Roman"/>
          <w:i w:val="1"/>
          <w:color w:val="505050"/>
          <w:sz w:val="24"/>
          <w:szCs w:val="24"/>
          <w:highlight w:val="white"/>
          <w:rtl w:val="0"/>
        </w:rPr>
        <w:t xml:space="preserve">What is ChatGPT, and why does it have educators worried?</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https://www.youtube.com/watch?v=Fn8jDanbf0c</w:t>
      </w:r>
    </w:p>
    <w:p w:rsidR="00000000" w:rsidDel="00000000" w:rsidP="00000000" w:rsidRDefault="00000000" w:rsidRPr="00000000" w14:paraId="00000060">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Tom Driscoll. (2014, November 14). </w:t>
      </w:r>
      <w:r w:rsidDel="00000000" w:rsidR="00000000" w:rsidRPr="00000000">
        <w:rPr>
          <w:rFonts w:ascii="Times New Roman" w:cs="Times New Roman" w:eastAsia="Times New Roman" w:hAnsi="Times New Roman"/>
          <w:i w:val="1"/>
          <w:color w:val="505050"/>
          <w:sz w:val="24"/>
          <w:szCs w:val="24"/>
          <w:highlight w:val="white"/>
          <w:rtl w:val="0"/>
        </w:rPr>
        <w:t xml:space="preserve">5 Minute Guide to Kahoot</w:t>
      </w:r>
      <w:r w:rsidDel="00000000" w:rsidR="00000000" w:rsidRPr="00000000">
        <w:rPr>
          <w:rFonts w:ascii="Times New Roman" w:cs="Times New Roman" w:eastAsia="Times New Roman" w:hAnsi="Times New Roman"/>
          <w:color w:val="505050"/>
          <w:sz w:val="24"/>
          <w:szCs w:val="24"/>
          <w:highlight w:val="white"/>
          <w:rtl w:val="0"/>
        </w:rPr>
        <w:t xml:space="preserve"> [Video]. YouTube. https://www.youtube.com/watch?v=pAfnia7-rMk</w:t>
      </w:r>
    </w:p>
    <w:p w:rsidR="00000000" w:rsidDel="00000000" w:rsidP="00000000" w:rsidRDefault="00000000" w:rsidRPr="00000000" w14:paraId="00000061">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Walsh, K. (2017, October 1). </w:t>
      </w:r>
      <w:r w:rsidDel="00000000" w:rsidR="00000000" w:rsidRPr="00000000">
        <w:rPr>
          <w:rFonts w:ascii="Times New Roman" w:cs="Times New Roman" w:eastAsia="Times New Roman" w:hAnsi="Times New Roman"/>
          <w:i w:val="1"/>
          <w:color w:val="505050"/>
          <w:sz w:val="24"/>
          <w:szCs w:val="24"/>
          <w:highlight w:val="white"/>
          <w:rtl w:val="0"/>
        </w:rPr>
        <w:t xml:space="preserve">Exploring the Ethical Considerations of Technology Use With Your Students</w:t>
      </w:r>
      <w:r w:rsidDel="00000000" w:rsidR="00000000" w:rsidRPr="00000000">
        <w:rPr>
          <w:rFonts w:ascii="Times New Roman" w:cs="Times New Roman" w:eastAsia="Times New Roman" w:hAnsi="Times New Roman"/>
          <w:color w:val="505050"/>
          <w:sz w:val="24"/>
          <w:szCs w:val="24"/>
          <w:highlight w:val="white"/>
          <w:rtl w:val="0"/>
        </w:rPr>
        <w:t xml:space="preserve">. Emerging Education Technologies. https://www.emergingedtech.com/2017/09/exploring-the-ethical-considerations-of-technology-with-your-students/</w:t>
      </w:r>
    </w:p>
    <w:p w:rsidR="00000000" w:rsidDel="00000000" w:rsidP="00000000" w:rsidRDefault="00000000" w:rsidRPr="00000000" w14:paraId="00000062">
      <w:pPr>
        <w:spacing w:line="523.6363636363636" w:lineRule="auto"/>
        <w:ind w:left="720" w:hanging="7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Wu, T. (2018). Improving the effectiveness of English vocabulary review by integrating ARCS with mobile game-based learning. </w:t>
      </w:r>
      <w:r w:rsidDel="00000000" w:rsidR="00000000" w:rsidRPr="00000000">
        <w:rPr>
          <w:rFonts w:ascii="Times New Roman" w:cs="Times New Roman" w:eastAsia="Times New Roman" w:hAnsi="Times New Roman"/>
          <w:i w:val="1"/>
          <w:color w:val="505050"/>
          <w:sz w:val="24"/>
          <w:szCs w:val="24"/>
          <w:highlight w:val="white"/>
          <w:rtl w:val="0"/>
        </w:rPr>
        <w:t xml:space="preserve">Journal of Computer Assisted Learning</w:t>
      </w:r>
      <w:r w:rsidDel="00000000" w:rsidR="00000000" w:rsidRPr="00000000">
        <w:rPr>
          <w:rFonts w:ascii="Times New Roman" w:cs="Times New Roman" w:eastAsia="Times New Roman" w:hAnsi="Times New Roman"/>
          <w:color w:val="505050"/>
          <w:sz w:val="24"/>
          <w:szCs w:val="24"/>
          <w:highlight w:val="white"/>
          <w:rtl w:val="0"/>
        </w:rPr>
        <w:t xml:space="preserve">, </w:t>
      </w:r>
      <w:r w:rsidDel="00000000" w:rsidR="00000000" w:rsidRPr="00000000">
        <w:rPr>
          <w:rFonts w:ascii="Times New Roman" w:cs="Times New Roman" w:eastAsia="Times New Roman" w:hAnsi="Times New Roman"/>
          <w:i w:val="1"/>
          <w:color w:val="505050"/>
          <w:sz w:val="24"/>
          <w:szCs w:val="24"/>
          <w:highlight w:val="white"/>
          <w:rtl w:val="0"/>
        </w:rPr>
        <w:t xml:space="preserve">34</w:t>
      </w:r>
      <w:r w:rsidDel="00000000" w:rsidR="00000000" w:rsidRPr="00000000">
        <w:rPr>
          <w:rFonts w:ascii="Times New Roman" w:cs="Times New Roman" w:eastAsia="Times New Roman" w:hAnsi="Times New Roman"/>
          <w:color w:val="505050"/>
          <w:sz w:val="24"/>
          <w:szCs w:val="24"/>
          <w:highlight w:val="white"/>
          <w:rtl w:val="0"/>
        </w:rPr>
        <w:t xml:space="preserve">(3), 315–323. https://doi.org/10.1111/jcal.12244</w:t>
      </w:r>
    </w:p>
    <w:p w:rsidR="00000000" w:rsidDel="00000000" w:rsidP="00000000" w:rsidRDefault="00000000" w:rsidRPr="00000000" w14:paraId="00000063">
      <w:pPr>
        <w:ind w:left="0" w:firstLine="0"/>
        <w:rPr>
          <w:rFonts w:ascii="Nunito" w:cs="Nunito" w:eastAsia="Nunito" w:hAnsi="Nunito"/>
          <w:color w:val="505050"/>
          <w:sz w:val="24"/>
          <w:szCs w:val="24"/>
          <w:highlight w:val="white"/>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5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EnGC+OgXmGN+YSjQC9/WoMLIMw==">AMUW2mVQlZt/zWIyMscsXFTGzsgGq0Cor+c5o5QZ/Nxz1DKWNjEE3kcZs/gXbW4/BzsU8VdpMUL1co8KCB+lwBgt+nVuQ0EsPyTbXoiKH98pTx+rNG3xELE+g4Z+nDuYLuw1XtWVTl6VH0vQbw+6EFHBRxdvU0Zxig==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