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2857500" cy="2857500"/>
            <wp:effectExtent t="0" r="0" b="0" l="0"/>
            <wp:docPr id="1" name="logo" descr="GGOMed full lockup" title="GGOM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before="600"/>
      </w:pPr>
    </w:p>
    <w:p>
      <w:pPr>
        <w:pStyle w:val="Title"/>
      </w:pPr>
      <w:r>
        <w:t xml:space="preserve">Brand Guidelines</w:t>
      </w:r>
    </w:p>
    <w:p>
      <w:pPr>
        <w:spacing w:before="200"/>
        <w:jc w:val="center"/>
      </w:pPr>
      <w:r>
        <w:rPr>
          <w:rFonts w:ascii="Arial" w:cs="Arial" w:eastAsia="Arial" w:hAnsi="Arial"/>
          <w:color w:val="4B4B4B"/>
          <w:sz w:val="28"/>
          <w:szCs w:val="28"/>
        </w:rPr>
        <w:t xml:space="preserve">The Complete Visual Identity System</w:t>
      </w:r>
    </w:p>
    <w:p>
      <w:pPr>
        <w:spacing w:before="400"/>
        <w:jc w:val="center"/>
      </w:pPr>
      <w:r>
        <w:rPr>
          <w:rFonts w:ascii="Arial" w:cs="Arial" w:eastAsia="Arial" w:hAnsi="Arial"/>
          <w:color w:val="4B4B4B"/>
          <w:sz w:val="22"/>
          <w:szCs w:val="22"/>
        </w:rPr>
        <w:t xml:space="preserve">Version 1.0  |  November 2025</w:t>
      </w:r>
    </w:p>
    <w:p>
      <w:pPr>
        <w:spacing w:before="1500"/>
      </w:pPr>
    </w:p>
    <w:p>
      <w:pPr>
        <w:jc w:val="center"/>
      </w:pPr>
      <w:r>
        <w:rPr>
          <w:rFonts w:ascii="Arial" w:cs="Arial" w:eastAsia="Arial" w:hAnsi="Arial"/>
          <w:i/>
          <w:iCs/>
          <w:color w:val="4B4B4B"/>
          <w:sz w:val="20"/>
          <w:szCs w:val="20"/>
        </w:rPr>
        <w:t xml:space="preserve">Prepared for internal use and external creative partners</w:t>
      </w:r>
    </w:p>
    <w:p>
      <w:r>
        <w:br w:type="page"/>
      </w:r>
    </w:p>
    <w:p>
      <w:pPr>
        <w:pStyle w:val="Heading1"/>
      </w:pPr>
      <w:r>
        <w:t xml:space="preserve">Contents</w:t>
      </w:r>
    </w:p>
    <w:p>
      <w:pPr>
        <w:spacing w:before="200"/>
      </w:pPr>
      <w:r>
        <w:rPr>
          <w:color w:val="111111"/>
          <w:sz w:val="24"/>
          <w:szCs w:val="24"/>
        </w:rPr>
        <w:t xml:space="preserve">1. Brand Overview</w:t>
      </w:r>
    </w:p>
    <w:p>
      <w:r>
        <w:rPr>
          <w:color w:val="111111"/>
          <w:sz w:val="24"/>
          <w:szCs w:val="24"/>
        </w:rPr>
        <w:t xml:space="preserve">2. Logo System</w:t>
      </w:r>
    </w:p>
    <w:p>
      <w:r>
        <w:rPr>
          <w:color w:val="111111"/>
          <w:sz w:val="24"/>
          <w:szCs w:val="24"/>
        </w:rPr>
        <w:t xml:space="preserve">3. Colour Palette</w:t>
      </w:r>
    </w:p>
    <w:p>
      <w:r>
        <w:rPr>
          <w:color w:val="111111"/>
          <w:sz w:val="24"/>
          <w:szCs w:val="24"/>
        </w:rPr>
        <w:t xml:space="preserve">4. Typography</w:t>
      </w:r>
    </w:p>
    <w:p>
      <w:r>
        <w:rPr>
          <w:color w:val="111111"/>
          <w:sz w:val="24"/>
          <w:szCs w:val="24"/>
        </w:rPr>
        <w:t xml:space="preserve">5. Visual Elements</w:t>
      </w:r>
    </w:p>
    <w:p>
      <w:r>
        <w:rPr>
          <w:color w:val="111111"/>
          <w:sz w:val="24"/>
          <w:szCs w:val="24"/>
        </w:rPr>
        <w:t xml:space="preserve">6. Photography Guidelines</w:t>
      </w:r>
    </w:p>
    <w:p>
      <w:r>
        <w:rPr>
          <w:color w:val="111111"/>
          <w:sz w:val="24"/>
          <w:szCs w:val="24"/>
        </w:rPr>
        <w:t xml:space="preserve">7. Application Templates</w:t>
      </w:r>
    </w:p>
    <w:p>
      <w:r>
        <w:rPr>
          <w:color w:val="111111"/>
          <w:sz w:val="24"/>
          <w:szCs w:val="24"/>
        </w:rPr>
        <w:t xml:space="preserve">8. Sub-Brands</w:t>
      </w:r>
    </w:p>
    <w:p>
      <w:r>
        <w:rPr>
          <w:color w:val="111111"/>
          <w:sz w:val="24"/>
          <w:szCs w:val="24"/>
        </w:rPr>
        <w:t xml:space="preserve">9. Digital Assets Checklist</w:t>
      </w:r>
    </w:p>
    <w:p>
      <w:r>
        <w:br w:type="page"/>
      </w:r>
    </w:p>
    <w:p>
      <w:pPr>
        <w:pStyle w:val="Heading1"/>
      </w:pPr>
      <w:r>
        <w:t xml:space="preserve">1. Brand Overview</w:t>
      </w:r>
    </w:p>
    <w:p>
      <w:pPr>
        <w:pStyle w:val="Heading2"/>
      </w:pPr>
      <w:r>
        <w:t xml:space="preserve">Brand Essence</w:t>
      </w:r>
    </w:p>
    <w:p>
      <w:pPr>
        <w:pStyle w:val="BodyText"/>
      </w:pPr>
      <w:r>
        <w:t xml:space="preserve">GGOMed® is the private urology and andrology practice of Mr Giangiacomo Ollandini, Consultant Urological Surgeon. The brand exists to deliver expert, empathetic urological care through a digital-first patient experience.</w:t>
      </w:r>
    </w:p>
    <w:p>
      <w:pPr>
        <w:pStyle w:val="Heading3"/>
      </w:pPr>
      <w:r>
        <w:t xml:space="preserve">Brand Architecture</w:t>
      </w:r>
    </w:p>
    <w:p>
      <w:pPr>
        <w:pStyle w:val="BodyText"/>
      </w:pPr>
      <w:r>
        <w:t xml:space="preserve">GGOMed operates as an </w:t>
      </w:r>
      <w:r>
        <w:rPr>
          <w:b/>
          <w:bCs/>
        </w:rPr>
        <w:t xml:space="preserve">endorsed brand</w:t>
      </w:r>
      <w:r>
        <w:t xml:space="preserve">. Patients search for 'Mr Ollandini' but experience 'GGOMed'. The personal reputation builds the brand equity; the brand creates the scalable ecosystem.</w:t>
      </w:r>
    </w:p>
    <w:p>
      <w:pPr>
        <w:pStyle w:val="Heading3"/>
      </w:pPr>
      <w:r>
        <w:t xml:space="preserve">Core Values</w:t>
      </w:r>
    </w:p>
    <w:p>
      <w:pPr>
        <w:pStyle w:val="ListParagraph"/>
        <w:numPr>
          <w:ilvl w:val="0"/>
          <w:numId w:val="2"/>
        </w:numPr>
      </w:pPr>
      <w:r>
        <w:rPr>
          <w:b/>
          <w:bCs/>
        </w:rPr>
        <w:t xml:space="preserve">Education First: </w:t>
      </w:r>
      <w:r>
        <w:t xml:space="preserve">Patients deserve complete understanding before any intervention</w:t>
      </w:r>
    </w:p>
    <w:p>
      <w:pPr>
        <w:pStyle w:val="ListParagraph"/>
        <w:numPr>
          <w:ilvl w:val="0"/>
          <w:numId w:val="2"/>
        </w:numPr>
      </w:pPr>
      <w:r>
        <w:rPr>
          <w:b/>
          <w:bCs/>
        </w:rPr>
        <w:t xml:space="preserve">Clinical Excellence: </w:t>
      </w:r>
      <w:r>
        <w:t xml:space="preserve">Evidence-based, subspecialty expertise</w:t>
      </w:r>
    </w:p>
    <w:p>
      <w:pPr>
        <w:pStyle w:val="ListParagraph"/>
        <w:numPr>
          <w:ilvl w:val="0"/>
          <w:numId w:val="2"/>
        </w:numPr>
      </w:pPr>
      <w:r>
        <w:rPr>
          <w:b/>
          <w:bCs/>
        </w:rPr>
        <w:t xml:space="preserve">Accessibility: </w:t>
      </w:r>
      <w:r>
        <w:t xml:space="preserve">Complex information made comprehensible</w:t>
      </w:r>
    </w:p>
    <w:p>
      <w:pPr>
        <w:pStyle w:val="ListParagraph"/>
        <w:numPr>
          <w:ilvl w:val="0"/>
          <w:numId w:val="2"/>
        </w:numPr>
      </w:pPr>
      <w:r>
        <w:rPr>
          <w:b/>
          <w:bCs/>
        </w:rPr>
        <w:t xml:space="preserve">Dignity: </w:t>
      </w:r>
      <w:r>
        <w:t xml:space="preserve">Sensitive topics handled with care and respect</w:t>
      </w:r>
    </w:p>
    <w:p>
      <w:pPr>
        <w:pStyle w:val="Heading3"/>
      </w:pPr>
      <w:r>
        <w:t xml:space="preserve">Voice Spectrum</w:t>
      </w:r>
    </w:p>
    <w:p>
      <w:pPr>
        <w:pStyle w:val="BodyText"/>
      </w:pPr>
      <w:r>
        <w:t xml:space="preserve">GGOMed's voice adapts to context while maintaining brand consistency:</w:t>
      </w:r>
    </w:p>
    <w:p>
      <w:pPr>
        <w:pStyle w:val="ListParagraph"/>
        <w:numPr>
          <w:ilvl w:val="0"/>
          <w:numId w:val="2"/>
        </w:numPr>
      </w:pPr>
      <w:r>
        <w:rPr>
          <w:b/>
          <w:bCs/>
        </w:rPr>
        <w:t xml:space="preserve">Expert Mode: </w:t>
      </w:r>
      <w:r>
        <w:t xml:space="preserve">Clinical precision for professional communications</w:t>
      </w:r>
    </w:p>
    <w:p>
      <w:pPr>
        <w:pStyle w:val="ListParagraph"/>
        <w:numPr>
          <w:ilvl w:val="0"/>
          <w:numId w:val="2"/>
        </w:numPr>
      </w:pPr>
      <w:r>
        <w:rPr>
          <w:b/>
          <w:bCs/>
        </w:rPr>
        <w:t xml:space="preserve">Empathetic Mode: </w:t>
      </w:r>
      <w:r>
        <w:t xml:space="preserve">Warm, reassuring tone for patient-facing content</w:t>
      </w:r>
    </w:p>
    <w:p>
      <w:pPr>
        <w:pStyle w:val="ListParagraph"/>
        <w:numPr>
          <w:ilvl w:val="0"/>
          <w:numId w:val="2"/>
        </w:numPr>
      </w:pPr>
      <w:r>
        <w:rPr>
          <w:b/>
          <w:bCs/>
        </w:rPr>
        <w:t xml:space="preserve">Educational Mode: </w:t>
      </w:r>
      <w:r>
        <w:t xml:space="preserve">Clear, approachable explanations for website content</w:t>
      </w:r>
    </w:p>
    <w:p>
      <w:pPr>
        <w:pStyle w:val="ListParagraph"/>
        <w:numPr>
          <w:ilvl w:val="0"/>
          <w:numId w:val="2"/>
        </w:numPr>
      </w:pPr>
      <w:r>
        <w:rPr>
          <w:b/>
          <w:bCs/>
        </w:rPr>
        <w:t xml:space="preserve">Urgent Mode: </w:t>
      </w:r>
      <w:r>
        <w:t xml:space="preserve">Direct, action-oriented for time-sensitive information</w:t>
      </w:r>
    </w:p>
    <w:p>
      <w:r>
        <w:br w:type="page"/>
      </w:r>
    </w:p>
    <w:p>
      <w:pPr>
        <w:pStyle w:val="Heading1"/>
      </w:pPr>
      <w:r>
        <w:t xml:space="preserve">2. Logo System</w:t>
      </w:r>
    </w:p>
    <w:p>
      <w:pPr>
        <w:pStyle w:val="Heading2"/>
      </w:pPr>
      <w:r>
        <w:t xml:space="preserve">The Spiral G Emblem</w:t>
      </w:r>
    </w:p>
    <w:p>
      <w:pPr>
        <w:pStyle w:val="BodyText"/>
      </w:pPr>
      <w:r>
        <w:t xml:space="preserve">The GGOMed emblem is a labyrinthine spiral forming the letter 'G'. The concentric circles suggest the patient journey inward toward understanding, while the connected pathways represent the integrated nature of urological health. The pure linework renders elegantly at any scale.</w:t>
      </w:r>
    </w:p>
    <w:p>
      <w:pPr>
        <w:pStyle w:val="Heading2"/>
      </w:pPr>
      <w:r>
        <w:t xml:space="preserve">Logo Formats</w:t>
      </w:r>
    </w:p>
    <w:p>
      <w:pPr>
        <w:pStyle w:val="BodyText"/>
      </w:pPr>
      <w:r>
        <w:t xml:space="preserve">Three logo formats exist for different applications:</w:t>
      </w:r>
    </w:p>
    <w:p>
      <w:pPr>
        <w:pStyle w:val="Heading3"/>
      </w:pPr>
      <w:r>
        <w:t xml:space="preserve">Full Lockup</w:t>
      </w:r>
    </w:p>
    <w:p>
      <w:pPr>
        <w:spacing w:before="200" w:after="200"/>
        <w:jc w:val="center"/>
      </w:pPr>
      <w:r>
        <w:drawing>
          <wp:inline distT="0" distB="0" distL="0" distR="0">
            <wp:extent cx="1905000" cy="1905000"/>
            <wp:effectExtent t="0" r="0" b="0" l="0"/>
            <wp:docPr id="1" name="full-lockup" descr="GGOMed full logo with name and wordmark" title="Full L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pStyle w:val="BodyText"/>
      </w:pPr>
      <w:r>
        <w:t xml:space="preserve">Emblem + 'MR GIANGIACOMO OLLANDINI' + 'GGOMed®'. Use for: letterhead headers, formal documents, website header, presentation title slides.</w:t>
      </w:r>
    </w:p>
    <w:p>
      <w:pPr>
        <w:pStyle w:val="Heading3"/>
      </w:pPr>
      <w:r>
        <w:t xml:space="preserve">Social Emblem (Filled)</w:t>
      </w:r>
    </w:p>
    <w:p>
      <w:pPr>
        <w:spacing w:before="200" w:after="200"/>
        <w:jc w:val="center"/>
      </w:pPr>
      <w:r>
        <w:drawing>
          <wp:inline distT="0" distB="0" distL="0" distR="0">
            <wp:extent cx="1143000" cy="1143000"/>
            <wp:effectExtent t="0" r="0" b="0" l="0"/>
            <wp:docPr id="1" name="social-emblem" descr="Filled emblem for social profile pictures" title="Soci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pStyle w:val="BodyText"/>
      </w:pPr>
      <w:r>
        <w:t xml:space="preserve">White spiral on purple filled circle. Use for: social media profile pictures (Instagram, LinkedIn, Facebook, YouTube), app icons, circular avatar contexts. This format ensures visibility at small sizes.</w:t>
      </w:r>
    </w:p>
    <w:p>
      <w:pPr>
        <w:pStyle w:val="Heading3"/>
      </w:pPr>
      <w:r>
        <w:t xml:space="preserve">Emblem Only (Linework)</w:t>
      </w:r>
    </w:p>
    <w:p>
      <w:pPr>
        <w:spacing w:before="200" w:after="200"/>
        <w:jc w:val="center"/>
      </w:pPr>
      <w:r>
        <w:drawing>
          <wp:inline distT="0" distB="0" distL="0" distR="0">
            <wp:extent cx="952500" cy="952500"/>
            <wp:effectExtent t="0" r="0" b="0" l="0"/>
            <wp:docPr id="1" name="emblem-only" descr="Linework emblem for watermarks" title="Emblem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pStyle w:val="BodyText"/>
      </w:pPr>
      <w:r>
        <w:t xml:space="preserve">Pure spiral linework without containment. Use for: favicon, watermarks on documents, very small applications, photography overlays, video outros.</w:t>
      </w:r>
    </w:p>
    <w:p>
      <w:r>
        <w:br w:type="page"/>
      </w:r>
    </w:p>
    <w:p>
      <w:pPr>
        <w:pStyle w:val="Heading2"/>
      </w:pPr>
      <w:r>
        <w:t xml:space="preserve">Colour Variants</w:t>
      </w:r>
    </w:p>
    <w:p>
      <w:pPr>
        <w:pStyle w:val="BodyText"/>
      </w:pPr>
      <w:r>
        <w:t xml:space="preserve">Each logo format exists in three colour variants:</w:t>
      </w:r>
    </w:p>
    <w:p>
      <w:pPr>
        <w:pStyle w:val="Heading3"/>
      </w:pPr>
      <w:r>
        <w:t xml:space="preserve">Purple on White (Primary)</w:t>
      </w:r>
    </w:p>
    <w:p>
      <w:pPr>
        <w:pStyle w:val="BodyText"/>
      </w:pPr>
      <w:r>
        <w:t xml:space="preserve">Use for: documents, website, light backgrounds. This is the default choice for most applications.</w:t>
      </w:r>
    </w:p>
    <w:p>
      <w:pPr>
        <w:pStyle w:val="Heading3"/>
      </w:pPr>
      <w:r>
        <w:t xml:space="preserve">White on Purple (Reverse)</w:t>
      </w:r>
    </w:p>
    <w:p>
      <w:pPr>
        <w:pStyle w:val="BodyText"/>
      </w:pPr>
      <w:r>
        <w:t xml:space="preserve">Use for: social media banners, buttons, dark backgrounds, branded backgrounds.</w:t>
      </w:r>
    </w:p>
    <w:p>
      <w:pPr>
        <w:pStyle w:val="Heading3"/>
      </w:pPr>
      <w:r>
        <w:t xml:space="preserve">White on Black (Neutral)</w:t>
      </w:r>
    </w:p>
    <w:p>
      <w:pPr>
        <w:spacing w:before="200" w:after="200"/>
        <w:jc w:val="center"/>
      </w:pPr>
      <w:r>
        <w:drawing>
          <wp:inline distT="0" distB="0" distL="0" distR="0">
            <wp:extent cx="1428750" cy="1428750"/>
            <wp:effectExtent t="0" r="0" b="0" l="0"/>
            <wp:docPr id="1" name="logo-black" descr="Logo for dark backgrounds" title="White o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pStyle w:val="BodyText"/>
      </w:pPr>
      <w:r>
        <w:t xml:space="preserve">Use for: photography overlays, video outros, formal presentations on dark backgrounds.</w:t>
      </w:r>
    </w:p>
    <w:p>
      <w:pPr>
        <w:pStyle w:val="Heading2"/>
      </w:pPr>
      <w:r>
        <w:t xml:space="preserve">Clear Space Rules</w:t>
      </w:r>
    </w:p>
    <w:p>
      <w:pPr>
        <w:pStyle w:val="BodyText"/>
      </w:pPr>
      <w:r>
        <w:t xml:space="preserve">Maintain clear space around the logo equal to </w:t>
      </w:r>
      <w:r>
        <w:rPr>
          <w:b/>
          <w:bCs/>
        </w:rPr>
        <w:t xml:space="preserve">50% of the emblem's diameter</w:t>
      </w:r>
      <w:r>
        <w:t xml:space="preserve"> on all sides. This ensures visual breathing room and brand dignity.</w:t>
      </w:r>
    </w:p>
    <w:p>
      <w:pPr>
        <w:pStyle w:val="Heading2"/>
      </w:pPr>
      <w:r>
        <w:t xml:space="preserve">Minimum Sizes</w:t>
      </w:r>
    </w:p>
    <w:p>
      <w:pPr>
        <w:pStyle w:val="ListParagraph"/>
        <w:numPr>
          <w:ilvl w:val="0"/>
          <w:numId w:val="2"/>
        </w:numPr>
      </w:pPr>
      <w:r>
        <w:rPr>
          <w:b/>
          <w:bCs/>
        </w:rPr>
        <w:t xml:space="preserve">Full lockup: </w:t>
      </w:r>
      <w:r>
        <w:t xml:space="preserve">Minimum width 120px (digital) or 30mm (print)</w:t>
      </w:r>
    </w:p>
    <w:p>
      <w:pPr>
        <w:pStyle w:val="ListParagraph"/>
        <w:numPr>
          <w:ilvl w:val="0"/>
          <w:numId w:val="2"/>
        </w:numPr>
      </w:pPr>
      <w:r>
        <w:rPr>
          <w:b/>
          <w:bCs/>
        </w:rPr>
        <w:t xml:space="preserve">Emblem only: </w:t>
      </w:r>
      <w:r>
        <w:t xml:space="preserve">Minimum width 24px (digital) or 8mm (print)</w:t>
      </w:r>
    </w:p>
    <w:p>
      <w:pPr>
        <w:pStyle w:val="Heading2"/>
      </w:pPr>
      <w:r>
        <w:t xml:space="preserve">Logo Misuse</w:t>
      </w:r>
    </w:p>
    <w:p>
      <w:pPr>
        <w:pStyle w:val="BodyText"/>
      </w:pPr>
      <w:r>
        <w:rPr>
          <w:b/>
          <w:bCs/>
          <w:color w:val="CC0000"/>
        </w:rPr>
        <w:t xml:space="preserve">Never:</w:t>
      </w:r>
    </w:p>
    <w:p>
      <w:pPr>
        <w:pStyle w:val="ListParagraph"/>
        <w:numPr>
          <w:ilvl w:val="0"/>
          <w:numId w:val="2"/>
        </w:numPr>
      </w:pPr>
      <w:r>
        <w:t xml:space="preserve">Place emblem inside a teal circle or any coloured circle (this was an artefact)</w:t>
      </w:r>
    </w:p>
    <w:p>
      <w:pPr>
        <w:pStyle w:val="ListParagraph"/>
        <w:numPr>
          <w:ilvl w:val="0"/>
          <w:numId w:val="2"/>
        </w:numPr>
      </w:pPr>
      <w:r>
        <w:t xml:space="preserve">Use grey or black versions of the purple logo</w:t>
      </w:r>
    </w:p>
    <w:p>
      <w:pPr>
        <w:pStyle w:val="ListParagraph"/>
        <w:numPr>
          <w:ilvl w:val="0"/>
          <w:numId w:val="2"/>
        </w:numPr>
      </w:pPr>
      <w:r>
        <w:t xml:space="preserve">Stretch, distort, or rotate the logo</w:t>
      </w:r>
    </w:p>
    <w:p>
      <w:pPr>
        <w:pStyle w:val="ListParagraph"/>
        <w:numPr>
          <w:ilvl w:val="0"/>
          <w:numId w:val="2"/>
        </w:numPr>
      </w:pPr>
      <w:r>
        <w:t xml:space="preserve">Add drop shadows, glows, or effects</w:t>
      </w:r>
    </w:p>
    <w:p>
      <w:pPr>
        <w:pStyle w:val="ListParagraph"/>
        <w:numPr>
          <w:ilvl w:val="0"/>
          <w:numId w:val="2"/>
        </w:numPr>
      </w:pPr>
      <w:r>
        <w:t xml:space="preserve">Place on busy photographic backgrounds without sufficient contrast</w:t>
      </w:r>
    </w:p>
    <w:p>
      <w:pPr>
        <w:pStyle w:val="ListParagraph"/>
        <w:numPr>
          <w:ilvl w:val="0"/>
          <w:numId w:val="2"/>
        </w:numPr>
      </w:pPr>
      <w:r>
        <w:t xml:space="preserve">Recreate or modify the spiral geometry</w:t>
      </w:r>
    </w:p>
    <w:p>
      <w:r>
        <w:br w:type="page"/>
      </w:r>
    </w:p>
    <w:p>
      <w:pPr>
        <w:pStyle w:val="Heading1"/>
      </w:pPr>
      <w:r>
        <w:t xml:space="preserve">3. Colour Palette</w:t>
      </w:r>
    </w:p>
    <w:p>
      <w:pPr>
        <w:pStyle w:val="Heading2"/>
      </w:pPr>
      <w:r>
        <w:t xml:space="preserve">Primary Colours</w:t>
      </w:r>
    </w:p>
    <w:p>
      <w:pPr>
        <w:pStyle w:val="Heading3"/>
      </w:pPr>
      <w:r>
        <w:rPr>
          <w:color w:val="3208F5"/>
        </w:rPr>
        <w:t xml:space="preserve">GGO Purple</w:t>
      </w:r>
    </w:p>
    <w:p>
      <w:pPr>
        <w:pStyle w:val="BodyText"/>
      </w:pPr>
      <w:r>
        <w:rPr>
          <w:b/>
          <w:bCs/>
        </w:rPr>
        <w:t xml:space="preserve">HEX: #3208F5  |  RGB: 50, 8, 245  |  CMYK: 80, 97, 0, 4</w:t>
      </w:r>
    </w:p>
    <w:p>
      <w:pPr>
        <w:pStyle w:val="BodyText"/>
      </w:pPr>
      <w:r>
        <w:t xml:space="preserve">The primary brand colour. Use for: logo, headlines, links, buttons, accents requiring authority. This electric violet conveys innovation, expertise, and confidence.</w:t>
      </w:r>
    </w:p>
    <w:p>
      <w:pPr>
        <w:pStyle w:val="Heading3"/>
      </w:pPr>
      <w:r>
        <w:rPr>
          <w:color w:val="00B894"/>
        </w:rPr>
        <w:t xml:space="preserve">GGO Teal</w:t>
      </w:r>
    </w:p>
    <w:p>
      <w:pPr>
        <w:pStyle w:val="BodyText"/>
      </w:pPr>
      <w:r>
        <w:rPr>
          <w:b/>
          <w:bCs/>
        </w:rPr>
        <w:t xml:space="preserve">HEX: #00EEB6  |  RGB: 0, 238, 182  |  CMYK: 60, 0, 45, 0</w:t>
      </w:r>
    </w:p>
    <w:p>
      <w:pPr>
        <w:pStyle w:val="BodyText"/>
      </w:pPr>
      <w:r>
        <w:t xml:space="preserve">The accent colour. Use for: dividers, highlights, success states, bullet points, call-to-action secondary elements. This mint-teal provides energetic contrast to the purple.</w:t>
      </w:r>
    </w:p>
    <w:p>
      <w:pPr>
        <w:pStyle w:val="Heading2"/>
      </w:pPr>
      <w:r>
        <w:t xml:space="preserve">Secondary Colours</w:t>
      </w:r>
    </w:p>
    <w:p>
      <w:pPr>
        <w:pStyle w:val="Heading3"/>
      </w:pPr>
      <w:r>
        <w:t xml:space="preserve">Soft Blue</w:t>
      </w:r>
    </w:p>
    <w:p>
      <w:pPr>
        <w:pStyle w:val="BodyText"/>
      </w:pPr>
      <w:r>
        <w:rPr>
          <w:b/>
          <w:bCs/>
        </w:rPr>
        <w:t xml:space="preserve">HEX: #E3EEFD  |  RGB: 227, 238, 253</w:t>
      </w:r>
    </w:p>
    <w:p>
      <w:pPr>
        <w:pStyle w:val="BodyText"/>
      </w:pPr>
      <w:r>
        <w:t xml:space="preserve">Background colour. Use for: content blocks, callout backgrounds, email body background. A gentle wash that suggests clinical cleanliness without sterility.</w:t>
      </w:r>
    </w:p>
    <w:p>
      <w:pPr>
        <w:pStyle w:val="Heading3"/>
      </w:pPr>
      <w:r>
        <w:t xml:space="preserve">Mint</w:t>
      </w:r>
    </w:p>
    <w:p>
      <w:pPr>
        <w:pStyle w:val="BodyText"/>
      </w:pPr>
      <w:r>
        <w:rPr>
          <w:b/>
          <w:bCs/>
        </w:rPr>
        <w:t xml:space="preserve">HEX: #B5FFE7  |  RGB: 181, 255, 231</w:t>
      </w:r>
    </w:p>
    <w:p>
      <w:pPr>
        <w:pStyle w:val="BodyText"/>
      </w:pPr>
      <w:r>
        <w:t xml:space="preserve">Secondary background. Use for: success messages, positive callouts, secondary cards.</w:t>
      </w:r>
    </w:p>
    <w:p>
      <w:pPr>
        <w:pStyle w:val="Heading2"/>
      </w:pPr>
      <w:r>
        <w:t xml:space="preserve">Neutral Colours</w:t>
      </w:r>
    </w:p>
    <w:p>
      <w:pPr>
        <w:pStyle w:val="Heading3"/>
      </w:pPr>
      <w:r>
        <w:t xml:space="preserve">Near Black</w:t>
      </w:r>
    </w:p>
    <w:p>
      <w:pPr>
        <w:pStyle w:val="BodyText"/>
      </w:pPr>
      <w:r>
        <w:rPr>
          <w:b/>
          <w:bCs/>
        </w:rPr>
        <w:t xml:space="preserve">HEX: #111111  |  RGB: 17, 17, 17</w:t>
      </w:r>
    </w:p>
    <w:p>
      <w:pPr>
        <w:pStyle w:val="BodyText"/>
      </w:pPr>
      <w:r>
        <w:t xml:space="preserve">Use for: headlines, primary headings, emphasis text. Never pure #000000.</w:t>
      </w:r>
    </w:p>
    <w:p>
      <w:pPr>
        <w:pStyle w:val="Heading3"/>
      </w:pPr>
      <w:r>
        <w:t xml:space="preserve">Charcoal</w:t>
      </w:r>
    </w:p>
    <w:p>
      <w:pPr>
        <w:pStyle w:val="BodyText"/>
      </w:pPr>
      <w:r>
        <w:rPr>
          <w:b/>
          <w:bCs/>
        </w:rPr>
        <w:t xml:space="preserve">HEX: #4B4B4B  |  RGB: 75, 75, 75</w:t>
      </w:r>
    </w:p>
    <w:p>
      <w:pPr>
        <w:pStyle w:val="BodyText"/>
      </w:pPr>
      <w:r>
        <w:t xml:space="preserve">Use for: body text, subheadings, captions. The primary reading colour.</w:t>
      </w:r>
    </w:p>
    <w:p>
      <w:pPr>
        <w:pStyle w:val="Heading3"/>
      </w:pPr>
      <w:r>
        <w:t xml:space="preserve">White</w:t>
      </w:r>
    </w:p>
    <w:p>
      <w:pPr>
        <w:pStyle w:val="BodyText"/>
      </w:pPr>
      <w:r>
        <w:rPr>
          <w:b/>
          <w:bCs/>
        </w:rPr>
        <w:t xml:space="preserve">HEX: #FFFFFF  |  RGB: 255, 255, 255</w:t>
      </w:r>
    </w:p>
    <w:p>
      <w:pPr>
        <w:pStyle w:val="BodyText"/>
      </w:pPr>
      <w:r>
        <w:t xml:space="preserve">Use for: primary backgrounds, text on dark backgrounds, containers.</w:t>
      </w:r>
    </w:p>
    <w:p>
      <w:pPr>
        <w:pStyle w:val="Heading2"/>
      </w:pPr>
      <w:r>
        <w:t xml:space="preserve">Colour Usage Ratios</w:t>
      </w:r>
    </w:p>
    <w:p>
      <w:pPr>
        <w:pStyle w:val="BodyText"/>
      </w:pPr>
      <w:r>
        <w:t xml:space="preserve">Apply the </w:t>
      </w:r>
      <w:r>
        <w:rPr>
          <w:b/>
          <w:bCs/>
        </w:rPr>
        <w:t xml:space="preserve">60-30-10 rule</w:t>
      </w:r>
      <w:r>
        <w:t xml:space="preserve">:</w:t>
      </w:r>
    </w:p>
    <w:p>
      <w:pPr>
        <w:pStyle w:val="ListParagraph"/>
        <w:numPr>
          <w:ilvl w:val="0"/>
          <w:numId w:val="2"/>
        </w:numPr>
      </w:pPr>
      <w:r>
        <w:rPr>
          <w:b/>
          <w:bCs/>
        </w:rPr>
        <w:t xml:space="preserve">60% White/Soft Blue: </w:t>
      </w:r>
      <w:r>
        <w:t xml:space="preserve">Primary backgrounds</w:t>
      </w:r>
    </w:p>
    <w:p>
      <w:pPr>
        <w:pStyle w:val="ListParagraph"/>
        <w:numPr>
          <w:ilvl w:val="0"/>
          <w:numId w:val="2"/>
        </w:numPr>
      </w:pPr>
      <w:r>
        <w:rPr>
          <w:b/>
          <w:bCs/>
        </w:rPr>
        <w:t xml:space="preserve">30% Purple: </w:t>
      </w:r>
      <w:r>
        <w:t xml:space="preserve">Headers, navigation, key elements</w:t>
      </w:r>
    </w:p>
    <w:p>
      <w:pPr>
        <w:pStyle w:val="ListParagraph"/>
        <w:numPr>
          <w:ilvl w:val="0"/>
          <w:numId w:val="2"/>
        </w:numPr>
      </w:pPr>
      <w:r>
        <w:rPr>
          <w:b/>
          <w:bCs/>
        </w:rPr>
        <w:t xml:space="preserve">10% Teal: </w:t>
      </w:r>
      <w:r>
        <w:t xml:space="preserve">Accents, dividers, highlights</w:t>
      </w:r>
    </w:p>
    <w:p>
      <w:r>
        <w:br w:type="page"/>
      </w:r>
    </w:p>
    <w:p>
      <w:pPr>
        <w:pStyle w:val="Heading1"/>
      </w:pPr>
      <w:r>
        <w:t xml:space="preserve">4. Typography</w:t>
      </w:r>
    </w:p>
    <w:p>
      <w:pPr>
        <w:pStyle w:val="Heading2"/>
      </w:pPr>
      <w:r>
        <w:t xml:space="preserve">Primary Typeface</w:t>
      </w:r>
    </w:p>
    <w:p>
      <w:pPr>
        <w:pStyle w:val="BodyText"/>
      </w:pPr>
      <w:r>
        <w:rPr>
          <w:b/>
          <w:bCs/>
          <w:sz w:val="28"/>
          <w:szCs w:val="28"/>
        </w:rPr>
        <w:t xml:space="preserve">Plus Jakarta Sans</w:t>
      </w:r>
    </w:p>
    <w:p>
      <w:pPr>
        <w:pStyle w:val="BodyText"/>
      </w:pPr>
      <w:r>
        <w:t xml:space="preserve">A modern geometric sans-serif that balances professionalism with approachability. Available on Google Fonts. Highly legible at small sizes, appropriate weight range for establishing hierarchy.</w:t>
      </w:r>
    </w:p>
    <w:p>
      <w:pPr>
        <w:pStyle w:val="Heading3"/>
      </w:pPr>
      <w:r>
        <w:t xml:space="preserve">Fallback Stack</w:t>
      </w:r>
    </w:p>
    <w:p>
      <w:pPr>
        <w:pStyle w:val="BodyText"/>
      </w:pPr>
      <w:r>
        <w:rPr>
          <w:rFonts w:ascii="Courier New" w:cs="Courier New" w:eastAsia="Courier New" w:hAnsi="Courier New"/>
          <w:sz w:val="20"/>
          <w:szCs w:val="20"/>
        </w:rPr>
        <w:t xml:space="preserve">font-family: 'Plus Jakarta Sans', Arial, sans-serif;</w:t>
      </w:r>
    </w:p>
    <w:p>
      <w:pPr>
        <w:pStyle w:val="Heading2"/>
      </w:pPr>
      <w:r>
        <w:t xml:space="preserve">Type Hierarchy</w:t>
      </w:r>
    </w:p>
    <w:p>
      <w:pPr>
        <w:spacing w:before="200"/>
      </w:pPr>
      <w:r>
        <w:rPr>
          <w:b/>
          <w:bCs/>
          <w:color w:val="111111"/>
          <w:sz w:val="64"/>
          <w:szCs w:val="64"/>
        </w:rPr>
        <w:t xml:space="preserve">Display</w:t>
      </w:r>
    </w:p>
    <w:p>
      <w:pPr>
        <w:pStyle w:val="BodyText"/>
      </w:pPr>
      <w:r>
        <w:t xml:space="preserve">Bold  |  32pt  |  #111111  |  Line height 1.2</w:t>
      </w:r>
    </w:p>
    <w:p>
      <w:pPr>
        <w:pStyle w:val="BodyText"/>
      </w:pPr>
      <w:r>
        <w:t xml:space="preserve">Use for: Hero headlines, cover titles, major section openers.</w:t>
      </w:r>
    </w:p>
    <w:p>
      <w:pPr>
        <w:spacing w:before="200"/>
      </w:pPr>
      <w:r>
        <w:rPr>
          <w:b/>
          <w:bCs/>
          <w:color w:val="111111"/>
          <w:sz w:val="48"/>
          <w:szCs w:val="48"/>
        </w:rPr>
        <w:t xml:space="preserve">Heading 1</w:t>
      </w:r>
    </w:p>
    <w:p>
      <w:pPr>
        <w:pStyle w:val="BodyText"/>
      </w:pPr>
      <w:r>
        <w:t xml:space="preserve">Bold  |  24pt  |  #111111  |  Line height 1.3</w:t>
      </w:r>
    </w:p>
    <w:p>
      <w:pPr>
        <w:pStyle w:val="BodyText"/>
      </w:pPr>
      <w:r>
        <w:t xml:space="preserve">Use for: Page titles, primary section headers.</w:t>
      </w:r>
    </w:p>
    <w:p>
      <w:pPr>
        <w:spacing w:before="200"/>
      </w:pPr>
      <w:r>
        <w:rPr>
          <w:b/>
          <w:bCs/>
          <w:color w:val="111111"/>
          <w:sz w:val="36"/>
          <w:szCs w:val="36"/>
        </w:rPr>
        <w:t xml:space="preserve">Heading 2</w:t>
      </w:r>
    </w:p>
    <w:p>
      <w:pPr>
        <w:pStyle w:val="BodyText"/>
      </w:pPr>
      <w:r>
        <w:t xml:space="preserve">SemiBold  |  18pt  |  #111111  |  Line height 1.4</w:t>
      </w:r>
    </w:p>
    <w:p>
      <w:pPr>
        <w:pStyle w:val="BodyText"/>
      </w:pPr>
      <w:r>
        <w:t xml:space="preserve">Use for: Subsection headers, card titles.</w:t>
      </w:r>
    </w:p>
    <w:p>
      <w:pPr>
        <w:spacing w:before="200"/>
      </w:pPr>
      <w:r>
        <w:rPr>
          <w:color w:val="4B4B4B"/>
          <w:sz w:val="28"/>
          <w:szCs w:val="28"/>
        </w:rPr>
        <w:t xml:space="preserve">Heading 3 / Subhead</w:t>
      </w:r>
    </w:p>
    <w:p>
      <w:pPr>
        <w:pStyle w:val="BodyText"/>
      </w:pPr>
      <w:r>
        <w:t xml:space="preserve">Medium  |  14pt  |  #4B4B4B  |  Line height 1.4</w:t>
      </w:r>
    </w:p>
    <w:p>
      <w:pPr>
        <w:pStyle w:val="BodyText"/>
      </w:pPr>
      <w:r>
        <w:t xml:space="preserve">Use for: Tertiary headers, label text, navigation items.</w:t>
      </w:r>
    </w:p>
    <w:p>
      <w:pPr>
        <w:spacing w:before="200"/>
      </w:pPr>
      <w:r>
        <w:rPr>
          <w:color w:val="4B4B4B"/>
          <w:sz w:val="24"/>
          <w:szCs w:val="24"/>
        </w:rPr>
        <w:t xml:space="preserve">Body Text</w:t>
      </w:r>
    </w:p>
    <w:p>
      <w:pPr>
        <w:pStyle w:val="BodyText"/>
      </w:pPr>
      <w:r>
        <w:t xml:space="preserve">Regular  |  12pt  |  #4B4B4B  |  Line height 1.5</w:t>
      </w:r>
    </w:p>
    <w:p>
      <w:pPr>
        <w:pStyle w:val="BodyText"/>
      </w:pPr>
      <w:r>
        <w:t xml:space="preserve">Use for: Paragraphs, descriptions, general content.</w:t>
      </w:r>
    </w:p>
    <w:p>
      <w:pPr>
        <w:spacing w:before="200"/>
      </w:pPr>
      <w:r>
        <w:rPr>
          <w:color w:val="4B4B4B"/>
          <w:sz w:val="20"/>
          <w:szCs w:val="20"/>
        </w:rPr>
        <w:t xml:space="preserve">Caption / Fine Print</w:t>
      </w:r>
    </w:p>
    <w:p>
      <w:pPr>
        <w:pStyle w:val="BodyText"/>
      </w:pPr>
      <w:r>
        <w:t xml:space="preserve">Regular  |  10pt  |  #4B4B4B  |  Line height 1.4</w:t>
      </w:r>
    </w:p>
    <w:p>
      <w:pPr>
        <w:pStyle w:val="BodyText"/>
      </w:pPr>
      <w:r>
        <w:t xml:space="preserve">Use for: Image captions, footnotes, disclaimers, metadata.</w:t>
      </w:r>
    </w:p>
    <w:p>
      <w:pPr>
        <w:spacing w:before="200"/>
      </w:pPr>
      <w:r>
        <w:rPr>
          <w:b/>
          <w:bCs/>
          <w:color w:val="FFFFFF"/>
          <w:sz w:val="24"/>
          <w:szCs w:val="24"/>
        </w:rPr>
        <w:t xml:space="preserve">CTA / Button</w:t>
      </w:r>
    </w:p>
    <w:p>
      <w:pPr>
        <w:pStyle w:val="BodyText"/>
      </w:pPr>
      <w:r>
        <w:t xml:space="preserve">SemiBold  |  12pt  |  #FFFFFF on #3208F5</w:t>
      </w:r>
    </w:p>
    <w:p>
      <w:pPr>
        <w:pStyle w:val="BodyText"/>
      </w:pPr>
      <w:r>
        <w:t xml:space="preserve">Use for: Primary buttons, calls to action.</w:t>
      </w:r>
    </w:p>
    <w:p>
      <w:r>
        <w:br w:type="page"/>
      </w:r>
    </w:p>
    <w:p>
      <w:pPr>
        <w:pStyle w:val="Heading1"/>
      </w:pPr>
      <w:r>
        <w:t xml:space="preserve">5. Visual Elements</w:t>
      </w:r>
    </w:p>
    <w:p>
      <w:pPr>
        <w:pStyle w:val="Heading2"/>
      </w:pPr>
      <w:r>
        <w:t xml:space="preserve">The Teal Line</w:t>
      </w:r>
    </w:p>
    <w:p>
      <w:pPr>
        <w:pStyle w:val="BodyText"/>
      </w:pPr>
      <w:r>
        <w:t xml:space="preserve">A 3px teal (#00EEB6) horizontal line is the primary graphic accent across all touchpoints.</w:t>
      </w:r>
    </w:p>
    <w:p>
      <w:pPr>
        <w:pStyle w:val="Heading3"/>
      </w:pPr>
      <w:r>
        <w:t xml:space="preserve">Specifications</w:t>
      </w:r>
    </w:p>
    <w:p>
      <w:pPr>
        <w:pStyle w:val="ListParagraph"/>
        <w:numPr>
          <w:ilvl w:val="0"/>
          <w:numId w:val="2"/>
        </w:numPr>
      </w:pPr>
      <w:r>
        <w:t xml:space="preserve">Thickness: 3px</w:t>
      </w:r>
    </w:p>
    <w:p>
      <w:pPr>
        <w:pStyle w:val="ListParagraph"/>
        <w:numPr>
          <w:ilvl w:val="0"/>
          <w:numId w:val="2"/>
        </w:numPr>
      </w:pPr>
      <w:r>
        <w:t xml:space="preserve">Colour: #00EEB6 (GGO Teal)</w:t>
      </w:r>
    </w:p>
    <w:p>
      <w:pPr>
        <w:pStyle w:val="ListParagraph"/>
        <w:numPr>
          <w:ilvl w:val="0"/>
          <w:numId w:val="2"/>
        </w:numPr>
      </w:pPr>
      <w:r>
        <w:t xml:space="preserve">Ends: Rounded (CSS: border-radius: 2px)</w:t>
      </w:r>
    </w:p>
    <w:p>
      <w:pPr>
        <w:pStyle w:val="Heading3"/>
      </w:pPr>
      <w:r>
        <w:t xml:space="preserve">Usage</w:t>
      </w:r>
    </w:p>
    <w:p>
      <w:pPr>
        <w:pStyle w:val="ListParagraph"/>
        <w:numPr>
          <w:ilvl w:val="0"/>
          <w:numId w:val="2"/>
        </w:numPr>
      </w:pPr>
      <w:r>
        <w:t xml:space="preserve">Below headers to separate from body content</w:t>
      </w:r>
    </w:p>
    <w:p>
      <w:pPr>
        <w:pStyle w:val="ListParagraph"/>
        <w:numPr>
          <w:ilvl w:val="0"/>
          <w:numId w:val="2"/>
        </w:numPr>
      </w:pPr>
      <w:r>
        <w:t xml:space="preserve">Above footers as a visual anchor</w:t>
      </w:r>
    </w:p>
    <w:p>
      <w:pPr>
        <w:pStyle w:val="ListParagraph"/>
        <w:numPr>
          <w:ilvl w:val="0"/>
          <w:numId w:val="2"/>
        </w:numPr>
      </w:pPr>
      <w:r>
        <w:t xml:space="preserve">Between sections as dividers</w:t>
      </w:r>
    </w:p>
    <w:p>
      <w:pPr>
        <w:pStyle w:val="ListParagraph"/>
        <w:numPr>
          <w:ilvl w:val="0"/>
          <w:numId w:val="2"/>
        </w:numPr>
      </w:pPr>
      <w:r>
        <w:t xml:space="preserve">At top of email templates (spanning full width)</w:t>
      </w:r>
    </w:p>
    <w:p>
      <w:pPr>
        <w:pStyle w:val="BodyText"/>
        <w:spacing w:before="200"/>
      </w:pPr>
      <w:r>
        <w:rPr>
          <w:b/>
          <w:bCs/>
        </w:rPr>
        <w:t xml:space="preserve">Never use: </w:t>
      </w:r>
      <w:r>
        <w:t xml:space="preserve">Grey dividers, purple lines, or any other colour for this function.</w:t>
      </w:r>
    </w:p>
    <w:p>
      <w:pPr>
        <w:pStyle w:val="Heading2"/>
      </w:pPr>
      <w:r>
        <w:t xml:space="preserve">Tagline</w:t>
      </w:r>
    </w:p>
    <w:p>
      <w:pPr>
        <w:pStyle w:val="BodyText"/>
      </w:pPr>
      <w:r>
        <w:rPr>
          <w:i w:val="false"/>
          <w:iCs w:val="false"/>
          <w:color w:val="4B4B4B"/>
          <w:sz w:val="24"/>
          <w:szCs w:val="24"/>
        </w:rPr>
        <w:t xml:space="preserve">Dedicated to Your Urological Health</w:t>
      </w:r>
    </w:p>
    <w:p>
      <w:pPr>
        <w:pStyle w:val="Heading3"/>
      </w:pPr>
      <w:r>
        <w:t xml:space="preserve">Styling Rules</w:t>
      </w:r>
    </w:p>
    <w:p>
      <w:pPr>
        <w:pStyle w:val="ListParagraph"/>
        <w:numPr>
          <w:ilvl w:val="0"/>
          <w:numId w:val="2"/>
        </w:numPr>
      </w:pPr>
      <w:r>
        <w:t xml:space="preserve">Typeface: Plus Jakarta Sans Medium</w:t>
      </w:r>
    </w:p>
    <w:p>
      <w:pPr>
        <w:pStyle w:val="ListParagraph"/>
        <w:numPr>
          <w:ilvl w:val="0"/>
          <w:numId w:val="2"/>
        </w:numPr>
      </w:pPr>
      <w:r>
        <w:t xml:space="preserve">Case: Sentence case (not ALL CAPS)</w:t>
      </w:r>
    </w:p>
    <w:p>
      <w:pPr>
        <w:pStyle w:val="ListParagraph"/>
        <w:numPr>
          <w:ilvl w:val="0"/>
          <w:numId w:val="2"/>
        </w:numPr>
      </w:pPr>
      <w:r>
        <w:t xml:space="preserve">Colour: #4B4B4B (Charcoal)</w:t>
      </w:r>
    </w:p>
    <w:p>
      <w:pPr>
        <w:pStyle w:val="ListParagraph"/>
        <w:numPr>
          <w:ilvl w:val="0"/>
          <w:numId w:val="2"/>
        </w:numPr>
      </w:pPr>
      <w:r>
        <w:t xml:space="preserve">Style: No underline, no italics</w:t>
      </w:r>
    </w:p>
    <w:p>
      <w:pPr>
        <w:pStyle w:val="ListParagraph"/>
        <w:numPr>
          <w:ilvl w:val="0"/>
          <w:numId w:val="2"/>
        </w:numPr>
      </w:pPr>
      <w:r>
        <w:t xml:space="preserve">Optional: Preceded by a teal line above</w:t>
      </w:r>
    </w:p>
    <w:p>
      <w:pPr>
        <w:pStyle w:val="BodyText"/>
        <w:spacing w:before="200"/>
      </w:pPr>
      <w:r>
        <w:rPr>
          <w:b/>
          <w:bCs/>
        </w:rPr>
        <w:t xml:space="preserve">Never: </w:t>
      </w:r>
      <w:r>
        <w:t xml:space="preserve">Use italics, underline, all-caps, or combine multiple decorations.</w:t>
      </w:r>
    </w:p>
    <w:p>
      <w:pPr>
        <w:pStyle w:val="Heading2"/>
      </w:pPr>
      <w:r>
        <w:t xml:space="preserve">Icon Style</w:t>
      </w:r>
    </w:p>
    <w:p>
      <w:pPr>
        <w:pStyle w:val="BodyText"/>
      </w:pPr>
      <w:r>
        <w:t xml:space="preserve">When using icons (navigation, features, lists):</w:t>
      </w:r>
    </w:p>
    <w:p>
      <w:pPr>
        <w:pStyle w:val="ListParagraph"/>
        <w:numPr>
          <w:ilvl w:val="0"/>
          <w:numId w:val="2"/>
        </w:numPr>
      </w:pPr>
      <w:r>
        <w:t xml:space="preserve">Style: Stroke-only (not filled)</w:t>
      </w:r>
    </w:p>
    <w:p>
      <w:pPr>
        <w:pStyle w:val="ListParagraph"/>
        <w:numPr>
          <w:ilvl w:val="0"/>
          <w:numId w:val="2"/>
        </w:numPr>
      </w:pPr>
      <w:r>
        <w:t xml:space="preserve">Stroke weight: 1.5–2px</w:t>
      </w:r>
    </w:p>
    <w:p>
      <w:pPr>
        <w:pStyle w:val="ListParagraph"/>
        <w:numPr>
          <w:ilvl w:val="0"/>
          <w:numId w:val="2"/>
        </w:numPr>
      </w:pPr>
      <w:r>
        <w:t xml:space="preserve">Colour: #00EEB6 (Teal) or #4B4B4B (Charcoal)</w:t>
      </w:r>
    </w:p>
    <w:p>
      <w:pPr>
        <w:pStyle w:val="ListParagraph"/>
        <w:numPr>
          <w:ilvl w:val="0"/>
          <w:numId w:val="2"/>
        </w:numPr>
      </w:pPr>
      <w:r>
        <w:t xml:space="preserve">Sources: Phosphor Icons, Feather Icons, Lucide</w:t>
      </w:r>
    </w:p>
    <w:p>
      <w:r>
        <w:br w:type="page"/>
      </w:r>
    </w:p>
    <w:p>
      <w:pPr>
        <w:pStyle w:val="Heading1"/>
      </w:pPr>
      <w:r>
        <w:t xml:space="preserve">6. Photography Guidelines</w:t>
      </w:r>
    </w:p>
    <w:p>
      <w:pPr>
        <w:pStyle w:val="Heading2"/>
      </w:pPr>
      <w:r>
        <w:t xml:space="preserve">Image Library</w:t>
      </w:r>
    </w:p>
    <w:p>
      <w:pPr>
        <w:pStyle w:val="BodyText"/>
      </w:pPr>
      <w:r>
        <w:t xml:space="preserve">GGOMed has a library of 100 professional photographs (Gianbrandshoot, April 2025) including headshots, environmental shots, and clinical scenarios.</w:t>
      </w:r>
    </w:p>
    <w:p>
      <w:pPr>
        <w:pStyle w:val="Heading2"/>
      </w:pPr>
      <w:r>
        <w:t xml:space="preserve">Image Categories</w:t>
      </w:r>
    </w:p>
    <w:p>
      <w:pPr>
        <w:pStyle w:val="Heading3"/>
      </w:pPr>
      <w:r>
        <w:t xml:space="preserve">Headshots</w:t>
      </w:r>
    </w:p>
    <w:p>
      <w:pPr>
        <w:pStyle w:val="BodyText"/>
      </w:pPr>
      <w:r>
        <w:t xml:space="preserve">Professional portraits for: website about page, social media profiles, email signatures, press/media kit, conference materials.</w:t>
      </w:r>
    </w:p>
    <w:p>
      <w:pPr>
        <w:pStyle w:val="Heading3"/>
      </w:pPr>
      <w:r>
        <w:t xml:space="preserve">Environmental</w:t>
      </w:r>
    </w:p>
    <w:p>
      <w:pPr>
        <w:pStyle w:val="BodyText"/>
      </w:pPr>
      <w:r>
        <w:t xml:space="preserve">Consultation room, clinical environment, equipment. Use for: website backgrounds, brochure imagery, presentation decks.</w:t>
      </w:r>
    </w:p>
    <w:p>
      <w:pPr>
        <w:pStyle w:val="Heading3"/>
      </w:pPr>
      <w:r>
        <w:t xml:space="preserve">With Patients/Props</w:t>
      </w:r>
    </w:p>
    <w:p>
      <w:pPr>
        <w:pStyle w:val="BodyText"/>
      </w:pPr>
      <w:r>
        <w:t xml:space="preserve">Demonstrating interaction, explaining procedures. Use for: patient information leaflets, educational content, testimonial sections.</w:t>
      </w:r>
    </w:p>
    <w:p>
      <w:pPr>
        <w:pStyle w:val="Heading2"/>
      </w:pPr>
      <w:r>
        <w:t xml:space="preserve">Overlay Treatment</w:t>
      </w:r>
    </w:p>
    <w:p>
      <w:pPr>
        <w:pStyle w:val="BodyText"/>
      </w:pPr>
      <w:r>
        <w:t xml:space="preserve">When placing the logo or text over photographs:</w:t>
      </w:r>
    </w:p>
    <w:p>
      <w:pPr>
        <w:pStyle w:val="ListParagraph"/>
        <w:numPr>
          <w:ilvl w:val="0"/>
          <w:numId w:val="3"/>
        </w:numPr>
      </w:pPr>
      <w:r>
        <w:t xml:space="preserve">Use white logo on dark image areas</w:t>
      </w:r>
    </w:p>
    <w:p>
      <w:pPr>
        <w:pStyle w:val="ListParagraph"/>
        <w:numPr>
          <w:ilvl w:val="0"/>
          <w:numId w:val="3"/>
        </w:numPr>
      </w:pPr>
      <w:r>
        <w:t xml:space="preserve">Apply semi-transparent purple overlay (#3208F5 at 60%) for text legibility</w:t>
      </w:r>
    </w:p>
    <w:p>
      <w:pPr>
        <w:pStyle w:val="ListParagraph"/>
        <w:numPr>
          <w:ilvl w:val="0"/>
          <w:numId w:val="3"/>
        </w:numPr>
      </w:pPr>
      <w:r>
        <w:t xml:space="preserve">Ensure minimum contrast ratio of 4.5:1 for text</w:t>
      </w:r>
    </w:p>
    <w:p>
      <w:pPr>
        <w:pStyle w:val="Heading2"/>
      </w:pPr>
      <w:r>
        <w:t xml:space="preserve">Image Cropping</w:t>
      </w:r>
    </w:p>
    <w:p>
      <w:pPr>
        <w:pStyle w:val="ListParagraph"/>
        <w:numPr>
          <w:ilvl w:val="0"/>
          <w:numId w:val="2"/>
        </w:numPr>
      </w:pPr>
      <w:r>
        <w:rPr>
          <w:b/>
          <w:bCs/>
        </w:rPr>
        <w:t xml:space="preserve">Social posts: </w:t>
      </w:r>
      <w:r>
        <w:t xml:space="preserve">1:1 square</w:t>
      </w:r>
    </w:p>
    <w:p>
      <w:pPr>
        <w:pStyle w:val="ListParagraph"/>
        <w:numPr>
          <w:ilvl w:val="0"/>
          <w:numId w:val="2"/>
        </w:numPr>
      </w:pPr>
      <w:r>
        <w:rPr>
          <w:b/>
          <w:bCs/>
        </w:rPr>
        <w:t xml:space="preserve">Website headers: </w:t>
      </w:r>
      <w:r>
        <w:t xml:space="preserve">16:9 wide</w:t>
      </w:r>
    </w:p>
    <w:p>
      <w:pPr>
        <w:pStyle w:val="ListParagraph"/>
        <w:numPr>
          <w:ilvl w:val="0"/>
          <w:numId w:val="2"/>
        </w:numPr>
      </w:pPr>
      <w:r>
        <w:rPr>
          <w:b/>
          <w:bCs/>
        </w:rPr>
        <w:t xml:space="preserve">Stories: </w:t>
      </w:r>
      <w:r>
        <w:t xml:space="preserve">9:16 vertical</w:t>
      </w:r>
    </w:p>
    <w:p>
      <w:pPr>
        <w:pStyle w:val="ListParagraph"/>
        <w:numPr>
          <w:ilvl w:val="0"/>
          <w:numId w:val="2"/>
        </w:numPr>
      </w:pPr>
      <w:r>
        <w:rPr>
          <w:b/>
          <w:bCs/>
        </w:rPr>
        <w:t xml:space="preserve">Thumbnails: </w:t>
      </w:r>
      <w:r>
        <w:t xml:space="preserve">3:4 portrait</w:t>
      </w:r>
    </w:p>
    <w:p>
      <w:r>
        <w:br w:type="page"/>
      </w:r>
    </w:p>
    <w:p>
      <w:pPr>
        <w:pStyle w:val="Heading1"/>
      </w:pPr>
      <w:r>
        <w:t xml:space="preserve">7. Application Templates</w:t>
      </w:r>
    </w:p>
    <w:p>
      <w:pPr>
        <w:pStyle w:val="Heading2"/>
      </w:pPr>
      <w:r>
        <w:t xml:space="preserve">Letterhead</w:t>
      </w:r>
    </w:p>
    <w:p>
      <w:pPr>
        <w:pStyle w:val="Heading3"/>
      </w:pPr>
      <w:r>
        <w:t xml:space="preserve">Header Zone</w:t>
      </w:r>
    </w:p>
    <w:p>
      <w:pPr>
        <w:pStyle w:val="ListParagraph"/>
        <w:numPr>
          <w:ilvl w:val="0"/>
          <w:numId w:val="4"/>
        </w:numPr>
      </w:pPr>
      <w:r>
        <w:t xml:space="preserve">Purple full lockup logo, centred</w:t>
      </w:r>
    </w:p>
    <w:p>
      <w:pPr>
        <w:pStyle w:val="ListParagraph"/>
        <w:numPr>
          <w:ilvl w:val="0"/>
          <w:numId w:val="4"/>
        </w:numPr>
      </w:pPr>
      <w:r>
        <w:t xml:space="preserve">Subheading: 'Mr Giangiacomo Ollandini MD, MSc, FRCS (Eng)'</w:t>
      </w:r>
    </w:p>
    <w:p>
      <w:pPr>
        <w:pStyle w:val="ListParagraph"/>
        <w:numPr>
          <w:ilvl w:val="0"/>
          <w:numId w:val="4"/>
        </w:numPr>
      </w:pPr>
      <w:r>
        <w:t xml:space="preserve">Subtitle: 'Consultant Urological Surgeon | Andrologist'</w:t>
      </w:r>
    </w:p>
    <w:p>
      <w:pPr>
        <w:pStyle w:val="ListParagraph"/>
        <w:numPr>
          <w:ilvl w:val="0"/>
          <w:numId w:val="4"/>
        </w:numPr>
      </w:pPr>
      <w:r>
        <w:t xml:space="preserve">3px teal divider line below</w:t>
      </w:r>
    </w:p>
    <w:p>
      <w:pPr>
        <w:pStyle w:val="Heading3"/>
      </w:pPr>
      <w:r>
        <w:t xml:space="preserve">Location Blocks</w:t>
      </w:r>
    </w:p>
    <w:p>
      <w:pPr>
        <w:pStyle w:val="BodyText"/>
      </w:pPr>
      <w:r>
        <w:t xml:space="preserve">Two-column layout showing all practice locations:</w:t>
      </w:r>
    </w:p>
    <w:p>
      <w:pPr>
        <w:pStyle w:val="ListParagraph"/>
        <w:numPr>
          <w:ilvl w:val="0"/>
          <w:numId w:val="2"/>
        </w:numPr>
      </w:pPr>
      <w:r>
        <w:t xml:space="preserve">Chelsea and Westminster Hospital Private Care, 369 Fulham Road, London SW10 9NH</w:t>
      </w:r>
    </w:p>
    <w:p>
      <w:pPr>
        <w:pStyle w:val="ListParagraph"/>
        <w:numPr>
          <w:ilvl w:val="0"/>
          <w:numId w:val="2"/>
        </w:numPr>
      </w:pPr>
      <w:r>
        <w:t xml:space="preserve">Nuffield Health Highgate Hospital, 17-19 View Road, London N6 4DJ</w:t>
      </w:r>
    </w:p>
    <w:p>
      <w:pPr>
        <w:pStyle w:val="ListParagraph"/>
        <w:numPr>
          <w:ilvl w:val="0"/>
          <w:numId w:val="2"/>
        </w:numPr>
      </w:pPr>
      <w:r>
        <w:t xml:space="preserve">The Saxon Clinic (when included)</w:t>
      </w:r>
    </w:p>
    <w:p>
      <w:pPr>
        <w:pStyle w:val="Heading3"/>
      </w:pPr>
      <w:r>
        <w:t xml:space="preserve">Footer Zone</w:t>
      </w:r>
    </w:p>
    <w:p>
      <w:pPr>
        <w:pStyle w:val="ListParagraph"/>
        <w:numPr>
          <w:ilvl w:val="0"/>
          <w:numId w:val="5"/>
        </w:numPr>
      </w:pPr>
      <w:r>
        <w:t xml:space="preserve">3px teal divider line</w:t>
      </w:r>
    </w:p>
    <w:p>
      <w:pPr>
        <w:pStyle w:val="ListParagraph"/>
        <w:numPr>
          <w:ilvl w:val="0"/>
          <w:numId w:val="5"/>
        </w:numPr>
      </w:pPr>
      <w:r>
        <w:t xml:space="preserve">Tagline: 'Dedicated to Your Urological Health'</w:t>
      </w:r>
    </w:p>
    <w:p>
      <w:pPr>
        <w:pStyle w:val="ListParagraph"/>
        <w:numPr>
          <w:ilvl w:val="0"/>
          <w:numId w:val="5"/>
        </w:numPr>
      </w:pPr>
      <w:r>
        <w:t xml:space="preserve">Contact: Tel 020 4576 5779 | Email mrollandinisecretary@ggomed.co.uk</w:t>
      </w:r>
    </w:p>
    <w:p>
      <w:pPr>
        <w:pStyle w:val="ListParagraph"/>
        <w:numPr>
          <w:ilvl w:val="0"/>
          <w:numId w:val="5"/>
        </w:numPr>
      </w:pPr>
      <w:r>
        <w:t xml:space="preserve">Website and social icons (unified purple style)</w:t>
      </w:r>
    </w:p>
    <w:p>
      <w:pPr>
        <w:pStyle w:val="Heading3"/>
      </w:pPr>
      <w:r>
        <w:t xml:space="preserve">Important</w:t>
      </w:r>
    </w:p>
    <w:p>
      <w:pPr>
        <w:pStyle w:val="BodyText"/>
      </w:pPr>
      <w:r>
        <w:rPr>
          <w:b/>
          <w:bCs/>
        </w:rPr>
        <w:t xml:space="preserve">Remove GGONews banner from formal clinical correspondence. </w:t>
      </w:r>
      <w:r>
        <w:t xml:space="preserve">Newsletter promotion belongs in marketing emails, not CMA appointment letters or clinical follow-up.</w:t>
      </w:r>
    </w:p>
    <w:p>
      <w:pPr>
        <w:pStyle w:val="Heading2"/>
      </w:pPr>
      <w:r>
        <w:t xml:space="preserve">Email Signature</w:t>
      </w:r>
    </w:p>
    <w:p>
      <w:pPr>
        <w:pStyle w:val="BodyText"/>
      </w:pPr>
      <w:r>
        <w:rPr>
          <w:b/>
          <w:bCs/>
        </w:rPr>
        <w:t xml:space="preserve">Mr Giangiacomo Ollandini MD, MSc, FRCS (Eng)</w:t>
      </w:r>
    </w:p>
    <w:p>
      <w:pPr>
        <w:pStyle w:val="BodyText"/>
      </w:pPr>
      <w:r>
        <w:t xml:space="preserve">Consultant Urological Surgeon | Andrologist</w:t>
      </w:r>
    </w:p>
    <w:p>
      <w:pPr>
        <w:pStyle w:val="BodyText"/>
      </w:pPr>
      <w:r>
        <w:t xml:space="preserve">[3px teal divider]</w:t>
      </w:r>
    </w:p>
    <w:p>
      <w:pPr>
        <w:pStyle w:val="BodyText"/>
      </w:pPr>
      <w:r>
        <w:t xml:space="preserve">Chelsea &amp; Westminster Hospital Private Care | Nuffield Health Highgate | Virtual Consultations</w:t>
      </w:r>
    </w:p>
    <w:p>
      <w:pPr>
        <w:pStyle w:val="BodyText"/>
      </w:pPr>
      <w:r>
        <w:rPr>
          <w:color w:val="3208F5"/>
        </w:rPr>
        <w:t xml:space="preserve">ggomed.co.uk</w:t>
      </w:r>
    </w:p>
    <w:p>
      <w:pPr>
        <w:pStyle w:val="BodyText"/>
      </w:pPr>
      <w:r>
        <w:t xml:space="preserve">[Small GGOMed logo + social icons]</w:t>
      </w:r>
    </w:p>
    <w:p>
      <w:pPr>
        <w:pStyle w:val="Heading2"/>
      </w:pPr>
      <w:r>
        <w:t xml:space="preserve">Social Media Profiles</w:t>
      </w:r>
    </w:p>
    <w:p>
      <w:pPr>
        <w:pStyle w:val="Heading3"/>
      </w:pPr>
      <w:r>
        <w:t xml:space="preserve">Profile Picture</w:t>
      </w:r>
    </w:p>
    <w:p>
      <w:pPr>
        <w:pStyle w:val="BodyText"/>
      </w:pPr>
      <w:r>
        <w:t xml:space="preserve">Use the </w:t>
      </w:r>
      <w:r>
        <w:rPr>
          <w:b/>
          <w:bCs/>
        </w:rPr>
        <w:t xml:space="preserve">filled social emblem</w:t>
      </w:r>
      <w:r>
        <w:t xml:space="preserve"> (white spiral on purple circle) for all platforms: Instagram, LinkedIn, Facebook, YouTube.</w:t>
      </w:r>
    </w:p>
    <w:p>
      <w:pPr>
        <w:pStyle w:val="Heading3"/>
      </w:pPr>
      <w:r>
        <w:t xml:space="preserve">Cover/Banner Images</w:t>
      </w:r>
    </w:p>
    <w:p>
      <w:pPr>
        <w:pStyle w:val="ListParagraph"/>
        <w:numPr>
          <w:ilvl w:val="0"/>
          <w:numId w:val="2"/>
        </w:numPr>
      </w:pPr>
      <w:r>
        <w:t xml:space="preserve">Purple background (#3208F5)</w:t>
      </w:r>
    </w:p>
    <w:p>
      <w:pPr>
        <w:pStyle w:val="ListParagraph"/>
        <w:numPr>
          <w:ilvl w:val="0"/>
          <w:numId w:val="2"/>
        </w:numPr>
      </w:pPr>
      <w:r>
        <w:t xml:space="preserve">White logo lockup positioned left or centred</w:t>
      </w:r>
    </w:p>
    <w:p>
      <w:pPr>
        <w:pStyle w:val="ListParagraph"/>
        <w:numPr>
          <w:ilvl w:val="0"/>
          <w:numId w:val="2"/>
        </w:numPr>
      </w:pPr>
      <w:r>
        <w:t xml:space="preserve">Teal accent line at bottom edge</w:t>
      </w:r>
    </w:p>
    <w:p>
      <w:pPr>
        <w:pStyle w:val="ListParagraph"/>
        <w:numPr>
          <w:ilvl w:val="0"/>
          <w:numId w:val="2"/>
        </w:numPr>
      </w:pPr>
      <w:r>
        <w:t xml:space="preserve">Optional: Professional headshot positioned right</w:t>
      </w:r>
    </w:p>
    <w:p>
      <w:r>
        <w:br w:type="page"/>
      </w:r>
    </w:p>
    <w:p>
      <w:pPr>
        <w:pStyle w:val="Heading1"/>
      </w:pPr>
      <w:r>
        <w:t xml:space="preserve">8. Sub-Brands</w:t>
      </w:r>
    </w:p>
    <w:p>
      <w:pPr>
        <w:pStyle w:val="Heading2"/>
      </w:pPr>
      <w:r>
        <w:t xml:space="preserve">GGONews</w:t>
      </w:r>
    </w:p>
    <w:p>
      <w:pPr>
        <w:pStyle w:val="BodyText"/>
      </w:pPr>
      <w:r>
        <w:t xml:space="preserve">The practice newsletter, distributed via Beehiiv platform.</w:t>
      </w:r>
    </w:p>
    <w:p>
      <w:pPr>
        <w:pStyle w:val="Heading3"/>
      </w:pPr>
      <w:r>
        <w:t xml:space="preserve">Visual Requirements</w:t>
      </w:r>
    </w:p>
    <w:p>
      <w:pPr>
        <w:pStyle w:val="BodyText"/>
      </w:pPr>
      <w:r>
        <w:t xml:space="preserve">GGONews must inherit from the core GGOMed brand:</w:t>
      </w:r>
    </w:p>
    <w:p>
      <w:pPr>
        <w:pStyle w:val="ListParagraph"/>
        <w:numPr>
          <w:ilvl w:val="0"/>
          <w:numId w:val="2"/>
        </w:numPr>
      </w:pPr>
      <w:r>
        <w:t xml:space="preserve">Primary colour: #3208F5 (Purple) — not gradient blues</w:t>
      </w:r>
    </w:p>
    <w:p>
      <w:pPr>
        <w:pStyle w:val="ListParagraph"/>
        <w:numPr>
          <w:ilvl w:val="0"/>
          <w:numId w:val="2"/>
        </w:numPr>
      </w:pPr>
      <w:r>
        <w:t xml:space="preserve">Accent colour: #00EEB6 (Teal)</w:t>
      </w:r>
    </w:p>
    <w:p>
      <w:pPr>
        <w:pStyle w:val="ListParagraph"/>
        <w:numPr>
          <w:ilvl w:val="0"/>
          <w:numId w:val="2"/>
        </w:numPr>
      </w:pPr>
      <w:r>
        <w:t xml:space="preserve">Typography: Plus Jakarta Sans</w:t>
      </w:r>
    </w:p>
    <w:p>
      <w:pPr>
        <w:pStyle w:val="ListParagraph"/>
        <w:numPr>
          <w:ilvl w:val="0"/>
          <w:numId w:val="2"/>
        </w:numPr>
      </w:pPr>
      <w:r>
        <w:t xml:space="preserve">'GGONews' wordmark should use same styling as 'GGOMed'</w:t>
      </w:r>
    </w:p>
    <w:p>
      <w:pPr>
        <w:pStyle w:val="Heading3"/>
      </w:pPr>
      <w:r>
        <w:t xml:space="preserve">Current Issue</w:t>
      </w:r>
    </w:p>
    <w:p>
      <w:pPr>
        <w:pStyle w:val="BodyText"/>
      </w:pPr>
      <w:r>
        <w:t xml:space="preserve">The newsletter has drifted to gradient blues and a different visual system. This must be corrected to maintain brand coherence.</w:t>
      </w:r>
    </w:p>
    <w:p>
      <w:pPr>
        <w:pStyle w:val="Heading2"/>
      </w:pPr>
      <w:r>
        <w:t xml:space="preserve">PIF TICK Accreditation</w:t>
      </w:r>
    </w:p>
    <w:p>
      <w:pPr>
        <w:pStyle w:val="BodyText"/>
      </w:pPr>
      <w:r>
        <w:t xml:space="preserve">The Patient Information Forum (PIF) TICK certification mark appears on qualifying patient information content.</w:t>
      </w:r>
    </w:p>
    <w:p>
      <w:pPr>
        <w:pStyle w:val="Heading3"/>
      </w:pPr>
      <w:r>
        <w:t xml:space="preserve">Usage Rules</w:t>
      </w:r>
    </w:p>
    <w:p>
      <w:pPr>
        <w:pStyle w:val="ListParagraph"/>
        <w:numPr>
          <w:ilvl w:val="0"/>
          <w:numId w:val="2"/>
        </w:numPr>
      </w:pPr>
      <w:r>
        <w:rPr>
          <w:b/>
          <w:bCs/>
        </w:rPr>
        <w:t xml:space="preserve">Only display where content meets PIF criteria</w:t>
      </w:r>
    </w:p>
    <w:p>
      <w:pPr>
        <w:pStyle w:val="ListParagraph"/>
        <w:numPr>
          <w:ilvl w:val="0"/>
          <w:numId w:val="2"/>
        </w:numPr>
      </w:pPr>
      <w:r>
        <w:t xml:space="preserve">Do not modify the TICK mark</w:t>
      </w:r>
    </w:p>
    <w:p>
      <w:pPr>
        <w:pStyle w:val="ListParagraph"/>
        <w:numPr>
          <w:ilvl w:val="0"/>
          <w:numId w:val="2"/>
        </w:numPr>
      </w:pPr>
      <w:r>
        <w:t xml:space="preserve">Maintain required clear space</w:t>
      </w:r>
    </w:p>
    <w:p>
      <w:pPr>
        <w:pStyle w:val="ListParagraph"/>
        <w:numPr>
          <w:ilvl w:val="0"/>
          <w:numId w:val="2"/>
        </w:numPr>
      </w:pPr>
      <w:r>
        <w:t xml:space="preserve">Position consistently (typically footer or sidebar)</w:t>
      </w:r>
    </w:p>
    <w:p>
      <w:r>
        <w:br w:type="page"/>
      </w:r>
    </w:p>
    <w:p>
      <w:pPr>
        <w:pStyle w:val="Heading1"/>
      </w:pPr>
      <w:r>
        <w:t xml:space="preserve">9. Digital Assets Checklist</w:t>
      </w:r>
    </w:p>
    <w:p>
      <w:pPr>
        <w:pStyle w:val="Heading2"/>
      </w:pPr>
      <w:r>
        <w:t xml:space="preserve">Logo Files Required</w:t>
      </w:r>
    </w:p>
    <w:p>
      <w:pPr>
        <w:pStyle w:val="Heading3"/>
      </w:pPr>
      <w:r>
        <w:t xml:space="preserve">SVG (Vector)</w:t>
      </w:r>
    </w:p>
    <w:p>
      <w:pPr>
        <w:pStyle w:val="ListParagraph"/>
        <w:numPr>
          <w:ilvl w:val="0"/>
          <w:numId w:val="2"/>
        </w:numPr>
      </w:pPr>
      <w:r>
        <w:t xml:space="preserve">GGO-med-emblem.svg — Spiral linework only</w:t>
      </w:r>
    </w:p>
    <w:p>
      <w:pPr>
        <w:pStyle w:val="ListParagraph"/>
        <w:numPr>
          <w:ilvl w:val="0"/>
          <w:numId w:val="2"/>
        </w:numPr>
      </w:pPr>
      <w:r>
        <w:t xml:space="preserve">GGomed-logo.svg — Full lockup with text</w:t>
      </w:r>
    </w:p>
    <w:p>
      <w:pPr>
        <w:pStyle w:val="Heading3"/>
      </w:pPr>
      <w:r>
        <w:t xml:space="preserve">PNG (Raster)</w:t>
      </w:r>
    </w:p>
    <w:p>
      <w:pPr>
        <w:pStyle w:val="ListParagraph"/>
        <w:numPr>
          <w:ilvl w:val="0"/>
          <w:numId w:val="2"/>
        </w:numPr>
      </w:pPr>
      <w:r>
        <w:t xml:space="preserve">GGOMed-logo-White.png — Full lockup, purple on transparent</w:t>
      </w:r>
    </w:p>
    <w:p>
      <w:pPr>
        <w:pStyle w:val="ListParagraph"/>
        <w:numPr>
          <w:ilvl w:val="0"/>
          <w:numId w:val="2"/>
        </w:numPr>
      </w:pPr>
      <w:r>
        <w:t xml:space="preserve">GGOMed-logo-White-social.png — Full lockup for social</w:t>
      </w:r>
    </w:p>
    <w:p>
      <w:pPr>
        <w:pStyle w:val="ListParagraph"/>
        <w:numPr>
          <w:ilvl w:val="0"/>
          <w:numId w:val="2"/>
        </w:numPr>
      </w:pPr>
      <w:r>
        <w:t xml:space="preserve">GGOMed-logo-black.png — White on dark circle</w:t>
      </w:r>
    </w:p>
    <w:p>
      <w:pPr>
        <w:pStyle w:val="ListParagraph"/>
        <w:numPr>
          <w:ilvl w:val="0"/>
          <w:numId w:val="2"/>
        </w:numPr>
      </w:pPr>
      <w:r>
        <w:t xml:space="preserve">GGOMed-logo-black-social.png — White emblem on dark circle</w:t>
      </w:r>
    </w:p>
    <w:p>
      <w:pPr>
        <w:pStyle w:val="ListParagraph"/>
        <w:numPr>
          <w:ilvl w:val="0"/>
          <w:numId w:val="2"/>
        </w:numPr>
      </w:pPr>
      <w:r>
        <w:t xml:space="preserve">Filled emblem (purple circle) — For social avatars</w:t>
      </w:r>
    </w:p>
    <w:p>
      <w:pPr>
        <w:pStyle w:val="ListParagraph"/>
        <w:numPr>
          <w:ilvl w:val="0"/>
          <w:numId w:val="2"/>
        </w:numPr>
      </w:pPr>
      <w:r>
        <w:t xml:space="preserve">Social lockup versions (rounded corners) — Purple and white</w:t>
      </w:r>
    </w:p>
    <w:p>
      <w:pPr>
        <w:pStyle w:val="Heading2"/>
      </w:pPr>
      <w:r>
        <w:t xml:space="preserve">Canva Brand Kit Setup</w:t>
      </w:r>
    </w:p>
    <w:p>
      <w:pPr>
        <w:pStyle w:val="BodyText"/>
      </w:pPr>
      <w:r>
        <w:t xml:space="preserve">Upload to Canva Brand Kit:</w:t>
      </w:r>
    </w:p>
    <w:p>
      <w:pPr>
        <w:pStyle w:val="Heading3"/>
      </w:pPr>
      <w:r>
        <w:t xml:space="preserve">Logos</w:t>
      </w:r>
    </w:p>
    <w:p>
      <w:pPr>
        <w:pStyle w:val="ListParagraph"/>
        <w:numPr>
          <w:ilvl w:val="0"/>
          <w:numId w:val="6"/>
        </w:numPr>
      </w:pPr>
      <w:r>
        <w:t xml:space="preserve">Full lockup purple on white (primary)</w:t>
      </w:r>
    </w:p>
    <w:p>
      <w:pPr>
        <w:pStyle w:val="ListParagraph"/>
        <w:numPr>
          <w:ilvl w:val="0"/>
          <w:numId w:val="6"/>
        </w:numPr>
      </w:pPr>
      <w:r>
        <w:t xml:space="preserve">Full lockup white on purple (reverse)</w:t>
      </w:r>
    </w:p>
    <w:p>
      <w:pPr>
        <w:pStyle w:val="ListParagraph"/>
        <w:numPr>
          <w:ilvl w:val="0"/>
          <w:numId w:val="6"/>
        </w:numPr>
      </w:pPr>
      <w:r>
        <w:t xml:space="preserve">Filled social emblem (purple)</w:t>
      </w:r>
    </w:p>
    <w:p>
      <w:pPr>
        <w:pStyle w:val="ListParagraph"/>
        <w:numPr>
          <w:ilvl w:val="0"/>
          <w:numId w:val="6"/>
        </w:numPr>
      </w:pPr>
      <w:r>
        <w:t xml:space="preserve">Emblem linework (purple)</w:t>
      </w:r>
    </w:p>
    <w:p>
      <w:pPr>
        <w:pStyle w:val="ListParagraph"/>
        <w:numPr>
          <w:ilvl w:val="0"/>
          <w:numId w:val="6"/>
        </w:numPr>
      </w:pPr>
      <w:r>
        <w:t xml:space="preserve">Emblem linework (white)</w:t>
      </w:r>
    </w:p>
    <w:p>
      <w:pPr>
        <w:pStyle w:val="Heading3"/>
      </w:pPr>
      <w:r>
        <w:t xml:space="preserve">Colours</w:t>
      </w:r>
    </w:p>
    <w:p>
      <w:pPr>
        <w:pStyle w:val="BodyText"/>
      </w:pPr>
      <w:r>
        <w:t xml:space="preserve">Add all six brand colours with exact hex values.</w:t>
      </w:r>
    </w:p>
    <w:p>
      <w:pPr>
        <w:pStyle w:val="Heading3"/>
      </w:pPr>
      <w:r>
        <w:t xml:space="preserve">Fonts</w:t>
      </w:r>
    </w:p>
    <w:p>
      <w:pPr>
        <w:pStyle w:val="BodyText"/>
      </w:pPr>
      <w:r>
        <w:t xml:space="preserve">Plus Jakarta Sans (available in Canva). Set as default for headings and body.</w:t>
      </w:r>
    </w:p>
    <w:p>
      <w:pPr>
        <w:pStyle w:val="Heading2"/>
      </w:pPr>
      <w:r>
        <w:t xml:space="preserve">Carebit HTML Templates</w:t>
      </w:r>
    </w:p>
    <w:p>
      <w:pPr>
        <w:pStyle w:val="BodyText"/>
      </w:pPr>
      <w:r>
        <w:t xml:space="preserve">The following CSS variables should be applied to all Carebit email templates:</w:t>
      </w:r>
    </w:p>
    <w:p>
      <w:pPr>
        <w:pStyle w:val="BodyText"/>
      </w:pPr>
      <w:r>
        <w:rPr>
          <w:rFonts w:ascii="Courier New" w:cs="Courier New" w:eastAsia="Courier New" w:hAnsi="Courier New"/>
          <w:sz w:val="18"/>
          <w:szCs w:val="18"/>
        </w:rPr>
        <w:t xml:space="preserve">--brand-purple: #3208F5;</w:t>
      </w:r>
    </w:p>
    <w:p>
      <w:pPr>
        <w:pStyle w:val="BodyText"/>
      </w:pPr>
      <w:r>
        <w:rPr>
          <w:rFonts w:ascii="Courier New" w:cs="Courier New" w:eastAsia="Courier New" w:hAnsi="Courier New"/>
          <w:sz w:val="18"/>
          <w:szCs w:val="18"/>
        </w:rPr>
        <w:t xml:space="preserve">--brand-teal: #00EEB6;</w:t>
      </w:r>
    </w:p>
    <w:p>
      <w:pPr>
        <w:pStyle w:val="BodyText"/>
      </w:pPr>
      <w:r>
        <w:rPr>
          <w:rFonts w:ascii="Courier New" w:cs="Courier New" w:eastAsia="Courier New" w:hAnsi="Courier New"/>
          <w:sz w:val="18"/>
          <w:szCs w:val="18"/>
        </w:rPr>
        <w:t xml:space="preserve">--bg-soft: #E3EEFD;</w:t>
      </w:r>
    </w:p>
    <w:p>
      <w:pPr>
        <w:pStyle w:val="BodyText"/>
      </w:pPr>
      <w:r>
        <w:rPr>
          <w:rFonts w:ascii="Courier New" w:cs="Courier New" w:eastAsia="Courier New" w:hAnsi="Courier New"/>
          <w:sz w:val="18"/>
          <w:szCs w:val="18"/>
        </w:rPr>
        <w:t xml:space="preserve">--text-body: #4B4B4B;</w:t>
      </w:r>
    </w:p>
    <w:p>
      <w:pPr>
        <w:pStyle w:val="BodyText"/>
      </w:pPr>
      <w:r>
        <w:rPr>
          <w:rFonts w:ascii="Courier New" w:cs="Courier New" w:eastAsia="Courier New" w:hAnsi="Courier New"/>
          <w:sz w:val="18"/>
          <w:szCs w:val="18"/>
        </w:rPr>
        <w:t xml:space="preserve">--text-heading: #111111;</w:t>
      </w:r>
    </w:p>
    <w:p>
      <w:pPr>
        <w:pStyle w:val="BodyText"/>
      </w:pPr>
      <w:r>
        <w:rPr>
          <w:rFonts w:ascii="Courier New" w:cs="Courier New" w:eastAsia="Courier New" w:hAnsi="Courier New"/>
          <w:sz w:val="18"/>
          <w:szCs w:val="18"/>
        </w:rPr>
        <w:t xml:space="preserve">font-family: 'Plus Jakarta Sans', Arial, sans-serif;</w:t>
      </w:r>
    </w:p>
    <w:p>
      <w:r>
        <w:br w:type="page"/>
      </w:r>
    </w:p>
    <w:p>
      <w:pPr>
        <w:spacing w:before="2000"/>
      </w:pPr>
    </w:p>
    <w:p>
      <w:pPr>
        <w:jc w:val="center"/>
      </w:pPr>
      <w:r>
        <w:drawing>
          <wp:inline distT="0" distB="0" distL="0" distR="0">
            <wp:extent cx="1714500" cy="1714500"/>
            <wp:effectExtent t="0" r="0" b="0" l="0"/>
            <wp:docPr id="1" name="logo-final" descr="GGOMed logo" title="GGOM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before="400"/>
      </w:pPr>
    </w:p>
    <w:p>
      <w:pPr>
        <w:jc w:val="center"/>
      </w:pPr>
      <w:r>
        <w:rPr>
          <w:rFonts w:ascii="Arial" w:cs="Arial" w:eastAsia="Arial" w:hAnsi="Arial"/>
          <w:color w:val="111111"/>
          <w:sz w:val="28"/>
          <w:szCs w:val="28"/>
        </w:rPr>
        <w:t xml:space="preserve">Questions about brand application?</w:t>
      </w:r>
    </w:p>
    <w:p>
      <w:pPr>
        <w:spacing w:before="200"/>
        <w:jc w:val="center"/>
      </w:pPr>
      <w:r>
        <w:rPr>
          <w:color w:val="4B4B4B"/>
          <w:sz w:val="24"/>
          <w:szCs w:val="24"/>
        </w:rPr>
        <w:t xml:space="preserve">Contact: </w:t>
      </w:r>
      <w:hyperlink w:history="1" r:id="rIdihqoycj27k6c0bhmlktw1">
        <w:r>
          <w:rPr>
            <w:color w:val="3208F5"/>
            <w:sz w:val="24"/>
            <w:szCs w:val="24"/>
          </w:rPr>
          <w:t xml:space="preserve">mrollandinisecretary@ggomed.co.uk</w:t>
        </w:r>
      </w:hyperlink>
    </w:p>
    <w:p>
      <w:pPr>
        <w:spacing w:before="100"/>
        <w:jc w:val="center"/>
      </w:pPr>
      <w:r>
        <w:rPr>
          <w:color w:val="4B4B4B"/>
          <w:sz w:val="24"/>
          <w:szCs w:val="24"/>
        </w:rPr>
        <w:t xml:space="preserve">Website: </w:t>
      </w:r>
      <w:hyperlink w:history="1" r:id="rIdziesm4gstbdzzmizmhtqa">
        <w:r>
          <w:rPr>
            <w:color w:val="3208F5"/>
            <w:sz w:val="24"/>
            <w:szCs w:val="24"/>
          </w:rPr>
          <w:t xml:space="preserve">ggomed.co.uk</w:t>
        </w:r>
      </w:hyperlink>
    </w:p>
    <w:p>
      <w:pPr>
        <w:spacing w:before="600"/>
      </w:pPr>
    </w:p>
    <w:p>
      <w:pPr>
        <w:jc w:val="center"/>
      </w:pPr>
      <w:r>
        <w:rPr>
          <w:rFonts w:ascii="Arial" w:cs="Arial" w:eastAsia="Arial" w:hAnsi="Arial"/>
          <w:i/>
          <w:iCs/>
          <w:color w:val="4B4B4B"/>
          <w:sz w:val="18"/>
          <w:szCs w:val="18"/>
        </w:rPr>
        <w:t xml:space="preserve">GGOMed® is a registered trademark.</w:t>
      </w:r>
    </w:p>
    <w:p>
      <w:pPr>
        <w:jc w:val="center"/>
      </w:pPr>
      <w:r>
        <w:rPr>
          <w:rFonts w:ascii="Arial" w:cs="Arial" w:eastAsia="Arial" w:hAnsi="Arial"/>
          <w:i/>
          <w:iCs/>
          <w:color w:val="4B4B4B"/>
          <w:sz w:val="18"/>
          <w:szCs w:val="18"/>
        </w:rPr>
        <w:t xml:space="preserve">© 2025 Mr Giangiacomo Ollandini. All rights reserved.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4B4B"/>
        <w:sz w:val="18"/>
        <w:szCs w:val="18"/>
      </w:rPr>
      <w:t xml:space="preserve">Page </w:t>
    </w:r>
    <w:r>
      <w:rPr>
        <w:color w:val="4B4B4B"/>
        <w:sz w:val="18"/>
        <w:szCs w:val="18"/>
      </w:rPr>
      <w:fldChar w:fldCharType="begin"/>
      <w:instrText xml:space="preserve">PAGE</w:instrText>
      <w:fldChar w:fldCharType="separate"/>
      <w:fldChar w:fldCharType="end"/>
    </w:r>
    <w:r>
      <w:rPr>
        <w:color w:val="4B4B4B"/>
        <w:sz w:val="18"/>
        <w:szCs w:val="18"/>
      </w:rPr>
      <w:t xml:space="preserve"> of </w:t>
    </w:r>
    <w:r>
      <w:rPr>
        <w:color w:val="4B4B4B"/>
        <w:sz w:val="18"/>
        <w:szCs w:val="18"/>
      </w:rPr>
      <w:fldChar w:fldCharType="begin"/>
      <w:instrText xml:space="preserve">NUMPAGES</w:instrText>
      <w:fldChar w:fldCharType="separate"/>
      <w:fldChar w:fldCharType="end"/>
    </w:r>
    <w:r>
      <w:rPr>
        <w:color w:val="4B4B4B"/>
        <w:sz w:val="18"/>
        <w:szCs w:val="18"/>
      </w:rPr>
      <w:t xml:space="preserve">  |  Confidential  |  Version 1.0  |  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4B4B"/>
        <w:sz w:val="18"/>
        <w:szCs w:val="18"/>
      </w:rPr>
      <w:t xml:space="preserve">GGOMed®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3208F5"/>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3208F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1111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B4B4B"/>
      <w:sz w:val="24"/>
      <w:szCs w:val="24"/>
    </w:rPr>
  </w:style>
  <w:style w:type="paragraph" w:styleId="BodyText">
    <w:name w:val="Body Text"/>
    <w:basedOn w:val="Normal"/>
    <w:pPr>
      <w:spacing w:before="0" w:after="120"/>
      <w:jc w:val="both"/>
    </w:pPr>
    <w:rPr>
      <w:rFonts w:ascii="Arial" w:cs="Arial" w:eastAsia="Arial" w:hAnsi="Arial"/>
      <w:color w:val="4B4B4B"/>
      <w:sz w:val="22"/>
      <w:szCs w:val="22"/>
    </w:rPr>
  </w:style>
  <w:style w:type="paragraph" w:styleId="Caption">
    <w:name w:val="Caption"/>
    <w:basedOn w:val="Normal"/>
    <w:pPr>
      <w:spacing w:before="60" w:after="60"/>
      <w:jc w:val="center"/>
    </w:pPr>
    <w:rPr>
      <w:rFonts w:ascii="Arial" w:cs="Arial" w:eastAsia="Arial" w:hAnsi="Arial"/>
      <w:i/>
      <w:iCs/>
      <w:color w:val="4B4B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ihqoycj27k6c0bhmlktw1" Type="http://schemas.openxmlformats.org/officeDocument/2006/relationships/hyperlink" Target="mailto:mrollandinisecretary@ggomed.co.uk" TargetMode="External"/><Relationship Id="rIdziesm4gstbdzzmizmhtqa" Type="http://schemas.openxmlformats.org/officeDocument/2006/relationships/hyperlink" Target="https://ggomed.co.uk" TargetMode="External"/><Relationship Id="rId8" Type="http://schemas.openxmlformats.org/officeDocument/2006/relationships/image" Target="media/c6485b3391b3c43f187db8c4f7adf010be691a5a.png"/><Relationship Id="rId9" Type="http://schemas.openxmlformats.org/officeDocument/2006/relationships/image" Target="media/eb056321660230c585099a5d3d0dec167946732e.png"/><Relationship Id="rId10" Type="http://schemas.openxmlformats.org/officeDocument/2006/relationships/image" Target="media/a400c3802736a98258a5c0fefe245529af3d927d.png"/><Relationship Id="rId11" Type="http://schemas.openxmlformats.org/officeDocument/2006/relationships/image" Target="media/f7005ba9e99543a54ad45da85a874a825fd69c3e.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2025-11-29T17:15:28.932Z</dcterms:created>
  <dcterms:modified xsi:type="dcterms:W3CDTF">2025-11-29T17:15:28.933Z</dcterms:modified>
</cp:coreProperties>
</file>

<file path=docProps/custom.xml><?xml version="1.0" encoding="utf-8"?>
<Properties xmlns="http://schemas.openxmlformats.org/officeDocument/2006/custom-properties" xmlns:vt="http://schemas.openxmlformats.org/officeDocument/2006/docPropsVTypes"/>
</file>