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764FE" w14:textId="77777777" w:rsidR="00D72ECE" w:rsidRPr="0029593C" w:rsidRDefault="00000000">
      <w:pPr>
        <w:pStyle w:val="Title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29593C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The Buffering Code</w:t>
      </w:r>
    </w:p>
    <w:p w14:paraId="242A4528" w14:textId="77777777" w:rsidR="00D72ECE" w:rsidRPr="0029593C" w:rsidRDefault="00000000">
      <w:pPr>
        <w:pStyle w:val="Author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>Genetic redundancy as the hidden variable that decides whether a mutation causes disease — and how to retune it</w:t>
      </w:r>
    </w:p>
    <w:p w14:paraId="04ABE421" w14:textId="77777777" w:rsidR="00D72ECE" w:rsidRPr="0029593C" w:rsidRDefault="00000000">
      <w:pPr>
        <w:pStyle w:val="Date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>NIH Director’s Pioneer Award — concept proposal</w:t>
      </w:r>
    </w:p>
    <w:p w14:paraId="515B7C3C" w14:textId="77777777" w:rsidR="00D72ECE" w:rsidRPr="0029593C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0" w:name="the-one-sentence-vision"/>
      <w:r w:rsidRPr="0029593C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The one-sentence vision</w:t>
      </w:r>
    </w:p>
    <w:p w14:paraId="3DB9F71E" w14:textId="77777777" w:rsidR="00D72ECE" w:rsidRPr="0029593C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I propose that the fundamental unit of immune-disease genetics is not the gene but the dynamically buffered paralog network; that 500 million years of genome-duplication history wrote a latent “buffering code” that determines </w:t>
      </w:r>
      <w:r w:rsidRPr="0029593C">
        <w:rPr>
          <w:rFonts w:ascii="Arial" w:hAnsi="Arial" w:cs="Arial"/>
          <w:i/>
          <w:color w:val="000000" w:themeColor="text1"/>
        </w:rPr>
        <w:t>whether, where, and in which clinical direction</w:t>
      </w:r>
      <w:r w:rsidRPr="0029593C">
        <w:rPr>
          <w:rFonts w:ascii="Arial" w:hAnsi="Arial" w:cs="Arial"/>
          <w:color w:val="000000" w:themeColor="text1"/>
        </w:rPr>
        <w:t xml:space="preserve"> perturbing a gene causes disease; and that learning to read and rewrite this code will let us predict a variant’s clinical consequence from sequence alone and treat disease by retuning redundancy rather than fixing the broken gene.</w:t>
      </w:r>
    </w:p>
    <w:p w14:paraId="224A1444" w14:textId="77777777" w:rsidR="00D72ECE" w:rsidRPr="0029593C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1" w:name="the-paradigm-it-overturns"/>
      <w:bookmarkEnd w:id="0"/>
      <w:r w:rsidRPr="0029593C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The paradigm it overturns</w:t>
      </w:r>
    </w:p>
    <w:p w14:paraId="0EF82A6E" w14:textId="77777777" w:rsidR="00D72ECE" w:rsidRPr="0029593C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Human genetics is gene-centric: we </w:t>
      </w:r>
      <w:proofErr w:type="gramStart"/>
      <w:r w:rsidRPr="0029593C">
        <w:rPr>
          <w:rFonts w:ascii="Arial" w:hAnsi="Arial" w:cs="Arial"/>
          <w:color w:val="000000" w:themeColor="text1"/>
        </w:rPr>
        <w:t>ask</w:t>
      </w:r>
      <w:proofErr w:type="gramEnd"/>
      <w:r w:rsidRPr="0029593C">
        <w:rPr>
          <w:rFonts w:ascii="Arial" w:hAnsi="Arial" w:cs="Arial"/>
          <w:color w:val="000000" w:themeColor="text1"/>
        </w:rPr>
        <w:t xml:space="preserve"> “is this gene mutated?” and “is the disease Mendelian or complex?” as if those were fixed properties. The data motivating this proposal say otherwise. Across 1,153 paralogous transcription factors, whether a gene causes monogenic versus polygenic immune disease is set not by the gene but by its paralog’s buffering state:</w:t>
      </w:r>
    </w:p>
    <w:p w14:paraId="61807A80" w14:textId="77777777" w:rsidR="00D72ECE" w:rsidRPr="0029593C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Genes whose duplicate is unbuffered (dispersed whole-genome-duplication “ohnologs” — </w:t>
      </w:r>
      <w:r w:rsidRPr="0029593C">
        <w:rPr>
          <w:rFonts w:ascii="Arial" w:hAnsi="Arial" w:cs="Arial"/>
          <w:i/>
          <w:color w:val="000000" w:themeColor="text1"/>
        </w:rPr>
        <w:t>SPI1</w:t>
      </w:r>
      <w:r w:rsidRPr="0029593C">
        <w:rPr>
          <w:rFonts w:ascii="Arial" w:hAnsi="Arial" w:cs="Arial"/>
          <w:color w:val="000000" w:themeColor="text1"/>
        </w:rPr>
        <w:t xml:space="preserve">/PU.1, </w:t>
      </w:r>
      <w:r w:rsidRPr="0029593C">
        <w:rPr>
          <w:rFonts w:ascii="Arial" w:hAnsi="Arial" w:cs="Arial"/>
          <w:i/>
          <w:color w:val="000000" w:themeColor="text1"/>
        </w:rPr>
        <w:t>ELF4</w:t>
      </w:r>
      <w:r w:rsidRPr="0029593C">
        <w:rPr>
          <w:rFonts w:ascii="Arial" w:hAnsi="Arial" w:cs="Arial"/>
          <w:color w:val="000000" w:themeColor="text1"/>
        </w:rPr>
        <w:t xml:space="preserve">, </w:t>
      </w:r>
      <w:r w:rsidRPr="0029593C">
        <w:rPr>
          <w:rFonts w:ascii="Arial" w:hAnsi="Arial" w:cs="Arial"/>
          <w:i/>
          <w:color w:val="000000" w:themeColor="text1"/>
        </w:rPr>
        <w:t>GATA2</w:t>
      </w:r>
      <w:r w:rsidRPr="0029593C">
        <w:rPr>
          <w:rFonts w:ascii="Arial" w:hAnsi="Arial" w:cs="Arial"/>
          <w:color w:val="000000" w:themeColor="text1"/>
        </w:rPr>
        <w:t xml:space="preserve">, </w:t>
      </w:r>
      <w:r w:rsidRPr="0029593C">
        <w:rPr>
          <w:rFonts w:ascii="Arial" w:hAnsi="Arial" w:cs="Arial"/>
          <w:i/>
          <w:color w:val="000000" w:themeColor="text1"/>
        </w:rPr>
        <w:t>IRF8</w:t>
      </w:r>
      <w:r w:rsidRPr="0029593C">
        <w:rPr>
          <w:rFonts w:ascii="Arial" w:hAnsi="Arial" w:cs="Arial"/>
          <w:color w:val="000000" w:themeColor="text1"/>
        </w:rPr>
        <w:t>) are enriched for monogenic inborn errors of immunity (odds ratio ≈ 3.5; ohnolog-vs-small-scale-duplicate OR ≈ 4.3, p ≈ 10</w:t>
      </w:r>
      <w:r w:rsidRPr="0029593C">
        <w:rPr>
          <w:rFonts w:ascii="Cambria Math" w:hAnsi="Cambria Math" w:cs="Cambria Math"/>
          <w:color w:val="000000" w:themeColor="text1"/>
        </w:rPr>
        <w:t>⁻</w:t>
      </w:r>
      <w:r w:rsidRPr="0029593C">
        <w:rPr>
          <w:rFonts w:ascii="Arial" w:hAnsi="Arial" w:cs="Arial"/>
          <w:color w:val="000000" w:themeColor="text1"/>
        </w:rPr>
        <w:t>⁴).</w:t>
      </w:r>
    </w:p>
    <w:p w14:paraId="18E877B7" w14:textId="77777777" w:rsidR="00D72ECE" w:rsidRPr="0029593C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The </w:t>
      </w:r>
      <w:r w:rsidRPr="0029593C">
        <w:rPr>
          <w:rFonts w:ascii="Arial" w:hAnsi="Arial" w:cs="Arial"/>
          <w:i/>
          <w:color w:val="000000" w:themeColor="text1"/>
        </w:rPr>
        <w:t>same evolutionary class of gene</w:t>
      </w:r>
      <w:r w:rsidRPr="0029593C">
        <w:rPr>
          <w:rFonts w:ascii="Arial" w:hAnsi="Arial" w:cs="Arial"/>
          <w:color w:val="000000" w:themeColor="text1"/>
        </w:rPr>
        <w:t xml:space="preserve">, when its duplicate is buffered by a co-regulated neighbor (clustered </w:t>
      </w:r>
      <w:r w:rsidRPr="0029593C">
        <w:rPr>
          <w:rFonts w:ascii="Arial" w:hAnsi="Arial" w:cs="Arial"/>
          <w:i/>
          <w:color w:val="000000" w:themeColor="text1"/>
        </w:rPr>
        <w:t>cis</w:t>
      </w:r>
      <w:r w:rsidRPr="0029593C">
        <w:rPr>
          <w:rFonts w:ascii="Arial" w:hAnsi="Arial" w:cs="Arial"/>
          <w:color w:val="000000" w:themeColor="text1"/>
        </w:rPr>
        <w:t xml:space="preserve">-ohnologs — </w:t>
      </w:r>
      <w:r w:rsidRPr="0029593C">
        <w:rPr>
          <w:rFonts w:ascii="Arial" w:hAnsi="Arial" w:cs="Arial"/>
          <w:i/>
          <w:color w:val="000000" w:themeColor="text1"/>
        </w:rPr>
        <w:t>ETS1</w:t>
      </w:r>
      <w:r w:rsidRPr="0029593C">
        <w:rPr>
          <w:rFonts w:ascii="Arial" w:hAnsi="Arial" w:cs="Arial"/>
          <w:color w:val="000000" w:themeColor="text1"/>
        </w:rPr>
        <w:t>/</w:t>
      </w:r>
      <w:r w:rsidRPr="0029593C">
        <w:rPr>
          <w:rFonts w:ascii="Arial" w:hAnsi="Arial" w:cs="Arial"/>
          <w:i/>
          <w:color w:val="000000" w:themeColor="text1"/>
        </w:rPr>
        <w:t>FLI1</w:t>
      </w:r>
      <w:r w:rsidRPr="0029593C">
        <w:rPr>
          <w:rFonts w:ascii="Arial" w:hAnsi="Arial" w:cs="Arial"/>
          <w:color w:val="000000" w:themeColor="text1"/>
        </w:rPr>
        <w:t>/</w:t>
      </w:r>
      <w:r w:rsidRPr="0029593C">
        <w:rPr>
          <w:rFonts w:ascii="Arial" w:hAnsi="Arial" w:cs="Arial"/>
          <w:i/>
          <w:color w:val="000000" w:themeColor="text1"/>
        </w:rPr>
        <w:t>ERG</w:t>
      </w:r>
      <w:r w:rsidRPr="0029593C">
        <w:rPr>
          <w:rFonts w:ascii="Arial" w:hAnsi="Arial" w:cs="Arial"/>
          <w:color w:val="000000" w:themeColor="text1"/>
        </w:rPr>
        <w:t xml:space="preserve">, the </w:t>
      </w:r>
      <w:r w:rsidRPr="0029593C">
        <w:rPr>
          <w:rFonts w:ascii="Arial" w:hAnsi="Arial" w:cs="Arial"/>
          <w:i/>
          <w:color w:val="000000" w:themeColor="text1"/>
        </w:rPr>
        <w:t>STAT</w:t>
      </w:r>
      <w:r w:rsidRPr="0029593C">
        <w:rPr>
          <w:rFonts w:ascii="Arial" w:hAnsi="Arial" w:cs="Arial"/>
          <w:color w:val="000000" w:themeColor="text1"/>
        </w:rPr>
        <w:t xml:space="preserve"> cluster), flips to being the single most polygenic category (top GWAS enrichment, OR ≈ 1.6) while carrying no Mendelian disease at all.</w:t>
      </w:r>
    </w:p>
    <w:p w14:paraId="29455A95" w14:textId="77777777" w:rsidR="00D72ECE" w:rsidRPr="0029593C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That flip — the same class of gene landing in two entirely different diagnostic categories purely as a function of redundancy — is the spark. It implies a hidden variable, </w:t>
      </w:r>
      <w:r w:rsidRPr="0029593C">
        <w:rPr>
          <w:rFonts w:ascii="Arial" w:hAnsi="Arial" w:cs="Arial"/>
          <w:i/>
          <w:color w:val="000000" w:themeColor="text1"/>
        </w:rPr>
        <w:t>buffering</w:t>
      </w:r>
      <w:r w:rsidRPr="0029593C">
        <w:rPr>
          <w:rFonts w:ascii="Arial" w:hAnsi="Arial" w:cs="Arial"/>
          <w:color w:val="000000" w:themeColor="text1"/>
        </w:rPr>
        <w:t>, that no current framework measures, and that reorganizes disease genetics from “genes” to “buffered dyads.”</w:t>
      </w:r>
    </w:p>
    <w:p w14:paraId="64B0DB52" w14:textId="77777777" w:rsidR="00D72ECE" w:rsidRPr="0029593C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2" w:name="the-central-hypothesis"/>
      <w:bookmarkEnd w:id="1"/>
      <w:r w:rsidRPr="0029593C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The central hypothesis</w:t>
      </w:r>
    </w:p>
    <w:p w14:paraId="6FDAC6C8" w14:textId="77777777" w:rsidR="00D72ECE" w:rsidRPr="0029593C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Genetic buffering is a quantifiable, cell-type-specific, time-varying property that governs the genotype–phenotype map. Formally, every paralog dyad has a buffering coefficient </w:t>
      </w:r>
      <w:proofErr w:type="gramStart"/>
      <w:r w:rsidRPr="0029593C">
        <w:rPr>
          <w:rFonts w:ascii="Arial" w:hAnsi="Arial" w:cs="Arial"/>
          <w:i/>
          <w:color w:val="000000" w:themeColor="text1"/>
        </w:rPr>
        <w:t>B</w:t>
      </w:r>
      <w:r w:rsidRPr="0029593C">
        <w:rPr>
          <w:rFonts w:ascii="Arial" w:hAnsi="Arial" w:cs="Arial"/>
          <w:color w:val="000000" w:themeColor="text1"/>
        </w:rPr>
        <w:t>(</w:t>
      </w:r>
      <w:proofErr w:type="gramEnd"/>
      <w:r w:rsidRPr="0029593C">
        <w:rPr>
          <w:rFonts w:ascii="Arial" w:hAnsi="Arial" w:cs="Arial"/>
          <w:color w:val="000000" w:themeColor="text1"/>
        </w:rPr>
        <w:t xml:space="preserve">cell type, state, time) — the degree to which a partner absorbs perturbation of its sibling. I hypothesize that </w:t>
      </w:r>
      <w:r w:rsidRPr="0029593C">
        <w:rPr>
          <w:rFonts w:ascii="Arial" w:hAnsi="Arial" w:cs="Arial"/>
          <w:i/>
          <w:color w:val="000000" w:themeColor="text1"/>
        </w:rPr>
        <w:t>B</w:t>
      </w:r>
      <w:r w:rsidRPr="0029593C">
        <w:rPr>
          <w:rFonts w:ascii="Arial" w:hAnsi="Arial" w:cs="Arial"/>
          <w:color w:val="000000" w:themeColor="text1"/>
        </w:rPr>
        <w:t xml:space="preserve"> is:</w:t>
      </w:r>
    </w:p>
    <w:p w14:paraId="3708D95F" w14:textId="77777777" w:rsidR="00D72ECE" w:rsidRPr="0029593C" w:rsidRDefault="00000000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Written by evolution. It is predictable </w:t>
      </w:r>
      <w:r w:rsidRPr="0029593C">
        <w:rPr>
          <w:rFonts w:ascii="Arial" w:hAnsi="Arial" w:cs="Arial"/>
          <w:i/>
          <w:color w:val="000000" w:themeColor="text1"/>
        </w:rPr>
        <w:t>a priori</w:t>
      </w:r>
      <w:r w:rsidRPr="0029593C">
        <w:rPr>
          <w:rFonts w:ascii="Arial" w:hAnsi="Arial" w:cs="Arial"/>
          <w:color w:val="000000" w:themeColor="text1"/>
        </w:rPr>
        <w:t xml:space="preserve"> from deep features already shown to matter — 2R-ohnolog provenance, </w:t>
      </w:r>
      <w:r w:rsidRPr="0029593C">
        <w:rPr>
          <w:rFonts w:ascii="Arial" w:hAnsi="Arial" w:cs="Arial"/>
          <w:i/>
          <w:color w:val="000000" w:themeColor="text1"/>
        </w:rPr>
        <w:t>cis</w:t>
      </w:r>
      <w:r w:rsidRPr="0029593C">
        <w:rPr>
          <w:rFonts w:ascii="Arial" w:hAnsi="Arial" w:cs="Arial"/>
          <w:color w:val="000000" w:themeColor="text1"/>
        </w:rPr>
        <w:t>-clustering, gene-origin age (ohnologs are pre-first-WGD ancient), and even the alpha/beta allopolyploid subgenome of origin. Evolution is a completed, genome-wide perturbation screen we can simply read.</w:t>
      </w:r>
    </w:p>
    <w:p w14:paraId="6987EEF2" w14:textId="77777777" w:rsidR="00D72ECE" w:rsidRPr="0029593C" w:rsidRDefault="00000000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Dynamic and local. </w:t>
      </w:r>
      <w:r w:rsidRPr="0029593C">
        <w:rPr>
          <w:rFonts w:ascii="Arial" w:hAnsi="Arial" w:cs="Arial"/>
          <w:i/>
          <w:color w:val="000000" w:themeColor="text1"/>
        </w:rPr>
        <w:t>B</w:t>
      </w:r>
      <w:r w:rsidRPr="0029593C">
        <w:rPr>
          <w:rFonts w:ascii="Arial" w:hAnsi="Arial" w:cs="Arial"/>
          <w:color w:val="000000" w:themeColor="text1"/>
        </w:rPr>
        <w:t xml:space="preserve"> is not a constant. The same gene is buffered in a cell type/state where its paralog is co-expressed and unbuffered where the partner falls silent — so disease erupts specifically in the buffering-weakest window. This single idea could explain incomplete penetrance, tissue specificity, age-of-onset, and the episodic nature of autoimmune flares as buffering failures in space and time.</w:t>
      </w:r>
    </w:p>
    <w:p w14:paraId="1EE6A729" w14:textId="77777777" w:rsidR="00D72ECE" w:rsidRPr="0029593C" w:rsidRDefault="00000000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lastRenderedPageBreak/>
        <w:t xml:space="preserve">The dial that sets disease direction. I hypothesize </w:t>
      </w:r>
      <w:r w:rsidRPr="0029593C">
        <w:rPr>
          <w:rFonts w:ascii="Arial" w:hAnsi="Arial" w:cs="Arial"/>
          <w:i/>
          <w:color w:val="000000" w:themeColor="text1"/>
        </w:rPr>
        <w:t>B</w:t>
      </w:r>
      <w:r w:rsidRPr="0029593C">
        <w:rPr>
          <w:rFonts w:ascii="Arial" w:hAnsi="Arial" w:cs="Arial"/>
          <w:color w:val="000000" w:themeColor="text1"/>
        </w:rPr>
        <w:t xml:space="preserve"> determines not just </w:t>
      </w:r>
      <w:r w:rsidRPr="0029593C">
        <w:rPr>
          <w:rFonts w:ascii="Arial" w:hAnsi="Arial" w:cs="Arial"/>
          <w:i/>
          <w:color w:val="000000" w:themeColor="text1"/>
        </w:rPr>
        <w:t>whether</w:t>
      </w:r>
      <w:r w:rsidRPr="0029593C">
        <w:rPr>
          <w:rFonts w:ascii="Arial" w:hAnsi="Arial" w:cs="Arial"/>
          <w:color w:val="000000" w:themeColor="text1"/>
        </w:rPr>
        <w:t xml:space="preserve"> but </w:t>
      </w:r>
      <w:r w:rsidRPr="0029593C">
        <w:rPr>
          <w:rFonts w:ascii="Arial" w:hAnsi="Arial" w:cs="Arial"/>
          <w:i/>
          <w:color w:val="000000" w:themeColor="text1"/>
        </w:rPr>
        <w:t>which</w:t>
      </w:r>
      <w:r w:rsidRPr="0029593C">
        <w:rPr>
          <w:rFonts w:ascii="Arial" w:hAnsi="Arial" w:cs="Arial"/>
          <w:color w:val="000000" w:themeColor="text1"/>
        </w:rPr>
        <w:t xml:space="preserve"> disease — where a perturbation lands on the immunodeficiency ↔ autoinflammation ↔ autoimmunity axis — because the framework already separates identity-determining (dispersed) from cytokine-effector (clustered) ohnologs.</w:t>
      </w:r>
    </w:p>
    <w:p w14:paraId="11A7A34B" w14:textId="77777777" w:rsidR="00D72ECE" w:rsidRPr="0029593C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3" w:name="Xf3f1deb5065577706bb74268375c0dfe3ea945c"/>
      <w:bookmarkEnd w:id="2"/>
      <w:r w:rsidRPr="0029593C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Three falsifiable, field-redefining predictions</w:t>
      </w:r>
    </w:p>
    <w:p w14:paraId="67302E17" w14:textId="77777777" w:rsidR="00D72ECE" w:rsidRPr="0029593C" w:rsidRDefault="00000000">
      <w:pPr>
        <w:pStyle w:val="Compact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The architecture prediction. Given only a gene’s evolutionary buffering features, I can predict whether its disease variants will be Mendelian or polygenic — </w:t>
      </w:r>
      <w:r w:rsidRPr="0029593C">
        <w:rPr>
          <w:rFonts w:ascii="Arial" w:hAnsi="Arial" w:cs="Arial"/>
          <w:i/>
          <w:color w:val="000000" w:themeColor="text1"/>
        </w:rPr>
        <w:t>before any patient is sequenced.</w:t>
      </w:r>
    </w:p>
    <w:p w14:paraId="3E650AE3" w14:textId="77777777" w:rsidR="00D72ECE" w:rsidRPr="0029593C" w:rsidRDefault="00000000">
      <w:pPr>
        <w:pStyle w:val="Compact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The cell-type prediction. A buffered disease gene will become Mendelian-like in the specific immune cell type/state where its paralog is naturally extinguished — i.e., we can predict the </w:t>
      </w:r>
      <w:r w:rsidRPr="0029593C">
        <w:rPr>
          <w:rFonts w:ascii="Arial" w:hAnsi="Arial" w:cs="Arial"/>
          <w:i/>
          <w:color w:val="000000" w:themeColor="text1"/>
        </w:rPr>
        <w:t>cellular site</w:t>
      </w:r>
      <w:r w:rsidRPr="0029593C">
        <w:rPr>
          <w:rFonts w:ascii="Arial" w:hAnsi="Arial" w:cs="Arial"/>
          <w:color w:val="000000" w:themeColor="text1"/>
        </w:rPr>
        <w:t xml:space="preserve"> of pathology from a buffering map.</w:t>
      </w:r>
    </w:p>
    <w:p w14:paraId="455F7AD6" w14:textId="77777777" w:rsidR="00D72ECE" w:rsidRPr="0029593C" w:rsidRDefault="00000000">
      <w:pPr>
        <w:pStyle w:val="Compact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>The reversibility prediction. Disease driven by loss of buffering can be corrected by retuning the partner paralog, not the mutated gene — a fundamentally new therapeutic target.</w:t>
      </w:r>
    </w:p>
    <w:p w14:paraId="7AF82B72" w14:textId="77777777" w:rsidR="00D72ECE" w:rsidRPr="0029593C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4" w:name="the-transformative-program"/>
      <w:bookmarkEnd w:id="3"/>
      <w:r w:rsidRPr="0029593C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The transformative program</w:t>
      </w:r>
    </w:p>
    <w:p w14:paraId="1DA7AE1A" w14:textId="77777777" w:rsidR="00D72ECE" w:rsidRPr="0029593C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1. MEASURE — the first genome-wide, single-cell Buffering Atlas of the immune system. Move beyond correlation to causation: titratable, paired perturbation (degron dose-series plus single- versus double-paralog knockdown) read by single-cell transcriptomics across primary human immune cell types and activation states, to assign an empirical </w:t>
      </w:r>
      <w:r w:rsidRPr="0029593C">
        <w:rPr>
          <w:rFonts w:ascii="Arial" w:hAnsi="Arial" w:cs="Arial"/>
          <w:i/>
          <w:color w:val="000000" w:themeColor="text1"/>
        </w:rPr>
        <w:t>B</w:t>
      </w:r>
      <w:r w:rsidRPr="0029593C">
        <w:rPr>
          <w:rFonts w:ascii="Arial" w:hAnsi="Arial" w:cs="Arial"/>
          <w:color w:val="000000" w:themeColor="text1"/>
        </w:rPr>
        <w:t xml:space="preserve"> to every paralog dyad in every cellular context. This turns “buffering” from a concept into a measured coordinate of the genome.</w:t>
      </w:r>
    </w:p>
    <w:p w14:paraId="44CECE52" w14:textId="77777777" w:rsidR="00D72ECE" w:rsidRPr="0029593C" w:rsidRDefault="00000000">
      <w:pPr>
        <w:pStyle w:val="BodyText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2. PREDICT — a generative “evolution-to-clinic” model. Train a model that maps deep genomic history (duplication mode, age, subgenome, </w:t>
      </w:r>
      <w:r w:rsidRPr="0029593C">
        <w:rPr>
          <w:rFonts w:ascii="Arial" w:hAnsi="Arial" w:cs="Arial"/>
          <w:i/>
          <w:color w:val="000000" w:themeColor="text1"/>
        </w:rPr>
        <w:t>cis</w:t>
      </w:r>
      <w:r w:rsidRPr="0029593C">
        <w:rPr>
          <w:rFonts w:ascii="Arial" w:hAnsi="Arial" w:cs="Arial"/>
          <w:color w:val="000000" w:themeColor="text1"/>
        </w:rPr>
        <w:t xml:space="preserve">-architecture, paralog co-expression) → buffering → predicted disease architecture, direction, and cellular site. The audacious end state: a </w:t>
      </w:r>
      <w:r w:rsidRPr="0029593C">
        <w:rPr>
          <w:rFonts w:ascii="Arial" w:hAnsi="Arial" w:cs="Arial"/>
          <w:i/>
          <w:color w:val="000000" w:themeColor="text1"/>
        </w:rPr>
        <w:t>paleogenomic disease oracle</w:t>
      </w:r>
      <w:r w:rsidRPr="0029593C">
        <w:rPr>
          <w:rFonts w:ascii="Arial" w:hAnsi="Arial" w:cs="Arial"/>
          <w:color w:val="000000" w:themeColor="text1"/>
        </w:rPr>
        <w:t xml:space="preserve"> that classifies a never-before-seen variant’s clinical behavior from sequence and evolutionary context alone.</w:t>
      </w:r>
    </w:p>
    <w:p w14:paraId="4CCE0671" w14:textId="77777777" w:rsidR="00D72ECE" w:rsidRPr="0029593C" w:rsidRDefault="00000000">
      <w:pPr>
        <w:pStyle w:val="BodyText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>3. REWIRE — paralog-rebalancing as a new therapeutic modality. Treat the redundant paralog as the genome’s built-in shock absorber and learn to dial it (CRISPR activation/interference, targeted protein degraders, or delivery of a “synthetic buffer” paralog) to restore network output in a buffering-failure disease. This is not science fiction — oncology has already proven paralogs are real, drug-like dependencies (</w:t>
      </w:r>
      <w:r w:rsidRPr="0029593C">
        <w:rPr>
          <w:rFonts w:ascii="Arial" w:hAnsi="Arial" w:cs="Arial"/>
          <w:i/>
          <w:color w:val="000000" w:themeColor="text1"/>
        </w:rPr>
        <w:t>SMARCA2/4</w:t>
      </w:r>
      <w:r w:rsidRPr="0029593C">
        <w:rPr>
          <w:rFonts w:ascii="Arial" w:hAnsi="Arial" w:cs="Arial"/>
          <w:color w:val="000000" w:themeColor="text1"/>
        </w:rPr>
        <w:t xml:space="preserve">, </w:t>
      </w:r>
      <w:r w:rsidRPr="0029593C">
        <w:rPr>
          <w:rFonts w:ascii="Arial" w:hAnsi="Arial" w:cs="Arial"/>
          <w:i/>
          <w:color w:val="000000" w:themeColor="text1"/>
        </w:rPr>
        <w:t>ARID1A/B</w:t>
      </w:r>
      <w:r w:rsidRPr="0029593C">
        <w:rPr>
          <w:rFonts w:ascii="Arial" w:hAnsi="Arial" w:cs="Arial"/>
          <w:color w:val="000000" w:themeColor="text1"/>
        </w:rPr>
        <w:t xml:space="preserve">, </w:t>
      </w:r>
      <w:r w:rsidRPr="0029593C">
        <w:rPr>
          <w:rFonts w:ascii="Arial" w:hAnsi="Arial" w:cs="Arial"/>
          <w:i/>
          <w:color w:val="000000" w:themeColor="text1"/>
        </w:rPr>
        <w:t>MAGOH/MAGOHB</w:t>
      </w:r>
      <w:r w:rsidRPr="0029593C">
        <w:rPr>
          <w:rFonts w:ascii="Arial" w:hAnsi="Arial" w:cs="Arial"/>
          <w:color w:val="000000" w:themeColor="text1"/>
        </w:rPr>
        <w:t xml:space="preserve"> synthetic lethality). The pioneering leap is inverting that logic: in immunity, </w:t>
      </w:r>
      <w:r w:rsidRPr="0029593C">
        <w:rPr>
          <w:rFonts w:ascii="Arial" w:hAnsi="Arial" w:cs="Arial"/>
          <w:i/>
          <w:color w:val="000000" w:themeColor="text1"/>
        </w:rPr>
        <w:t>restore</w:t>
      </w:r>
      <w:r w:rsidRPr="0029593C">
        <w:rPr>
          <w:rFonts w:ascii="Arial" w:hAnsi="Arial" w:cs="Arial"/>
          <w:color w:val="000000" w:themeColor="text1"/>
        </w:rPr>
        <w:t xml:space="preserve"> buffering to quiet disease rather than break it to kill tumors.</w:t>
      </w:r>
    </w:p>
    <w:p w14:paraId="16D9F10C" w14:textId="77777777" w:rsidR="00D72ECE" w:rsidRPr="0029593C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5" w:name="Xae21c1459f47945bab50bcbff208f6a60ea0240"/>
      <w:bookmarkEnd w:id="4"/>
      <w:r w:rsidRPr="0029593C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Why this is Pioneer-appropriate (high-risk / high-reward)</w:t>
      </w:r>
    </w:p>
    <w:p w14:paraId="42012496" w14:textId="77777777" w:rsidR="00D72ECE" w:rsidRPr="0029593C" w:rsidRDefault="00000000">
      <w:pPr>
        <w:pStyle w:val="Compact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Why it won’t happen through normal grants. The prevailing grant culture rewards one-gene–one-disease mechanism. A theory whose unit is the </w:t>
      </w:r>
      <w:r w:rsidRPr="0029593C">
        <w:rPr>
          <w:rFonts w:ascii="Arial" w:hAnsi="Arial" w:cs="Arial"/>
          <w:i/>
          <w:color w:val="000000" w:themeColor="text1"/>
        </w:rPr>
        <w:t>dynamically buffered network</w:t>
      </w:r>
      <w:r w:rsidRPr="0029593C">
        <w:rPr>
          <w:rFonts w:ascii="Arial" w:hAnsi="Arial" w:cs="Arial"/>
          <w:color w:val="000000" w:themeColor="text1"/>
        </w:rPr>
        <w:t>, and whose payoff is a predictive law, cuts across that grain; it needs a single investigator empowered to chase a unifying idea rather than a hypothesis-confirming aim.</w:t>
      </w:r>
    </w:p>
    <w:p w14:paraId="40E5766B" w14:textId="77777777" w:rsidR="00D72ECE" w:rsidRPr="0029593C" w:rsidRDefault="00000000">
      <w:pPr>
        <w:pStyle w:val="Compact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The risk is real and stated honestly. </w:t>
      </w:r>
      <w:r w:rsidRPr="0029593C">
        <w:rPr>
          <w:rFonts w:ascii="Arial" w:hAnsi="Arial" w:cs="Arial"/>
          <w:i/>
          <w:color w:val="000000" w:themeColor="text1"/>
        </w:rPr>
        <w:t>B</w:t>
      </w:r>
      <w:r w:rsidRPr="0029593C">
        <w:rPr>
          <w:rFonts w:ascii="Arial" w:hAnsi="Arial" w:cs="Arial"/>
          <w:color w:val="000000" w:themeColor="text1"/>
        </w:rPr>
        <w:t xml:space="preserve"> may be too context-dependent to generalize; the evolution-to-clinic prior may not transfer beyond the gene families where the signal is cleanest; paralog-rebalancing may face the usual delivery and specificity hurdles. Any of these could falsify the strong form of the theory.</w:t>
      </w:r>
    </w:p>
    <w:p w14:paraId="3DFCBE3D" w14:textId="77777777" w:rsidR="00D72ECE" w:rsidRPr="0029593C" w:rsidRDefault="00000000">
      <w:pPr>
        <w:pStyle w:val="Compact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The reward is a paradigm. If buffering is even partly the hidden variable, we gain (i) a mechanistic explanation for penetrance and for the immunodeficiency/autoinflammation/autoimmunity spectrum; (ii) variant interpretation that predicts clinical architecture from sequence; and (iii) an entirely new therapeutic axis. The principle is general — the same duplication-encoded buffering should shape robustness and disease in the brain (where 2R ohnologs were recently shown to drive cell-type evolution), in </w:t>
      </w:r>
      <w:r w:rsidRPr="0029593C">
        <w:rPr>
          <w:rFonts w:ascii="Arial" w:hAnsi="Arial" w:cs="Arial"/>
          <w:color w:val="000000" w:themeColor="text1"/>
        </w:rPr>
        <w:lastRenderedPageBreak/>
        <w:t>cancer, and across vertebrate physiology. Immunity is the ideal proving ground because it has both the cleanest genetics (curated monogenic and polygenic catalogs) and the cell-resolution tools.</w:t>
      </w:r>
    </w:p>
    <w:p w14:paraId="241AFC0F" w14:textId="77777777" w:rsidR="00D72ECE" w:rsidRPr="0029593C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6" w:name="why-now"/>
      <w:bookmarkEnd w:id="5"/>
      <w:r w:rsidRPr="0029593C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Why now</w:t>
      </w:r>
    </w:p>
    <w:p w14:paraId="3A449362" w14:textId="77777777" w:rsidR="00D72ECE" w:rsidRPr="0029593C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The convergence is new: complete paralog/ohnolog and alpha/beta subgenome maps, curated monogenic (inborn errors of immunity) and polygenic (GWAS) disease catalogs, single-cell perturbation at scale, and — from the work motivating this proposal — the first evidence that one evolutionary axis (buffering) reorganizes the entire monogenic-versus-polygenic landscape. The framework, the catalogs, and the integrating analyses already exist; the Pioneer Award would fund the leap from </w:t>
      </w:r>
      <w:r w:rsidRPr="0029593C">
        <w:rPr>
          <w:rFonts w:ascii="Arial" w:hAnsi="Arial" w:cs="Arial"/>
          <w:i/>
          <w:color w:val="000000" w:themeColor="text1"/>
        </w:rPr>
        <w:t>observing</w:t>
      </w:r>
      <w:r w:rsidRPr="0029593C">
        <w:rPr>
          <w:rFonts w:ascii="Arial" w:hAnsi="Arial" w:cs="Arial"/>
          <w:color w:val="000000" w:themeColor="text1"/>
        </w:rPr>
        <w:t xml:space="preserve"> the buffering code to </w:t>
      </w:r>
      <w:r w:rsidRPr="0029593C">
        <w:rPr>
          <w:rFonts w:ascii="Arial" w:hAnsi="Arial" w:cs="Arial"/>
          <w:i/>
          <w:color w:val="000000" w:themeColor="text1"/>
        </w:rPr>
        <w:t>measuring, predicting, and rewriting</w:t>
      </w:r>
      <w:r w:rsidRPr="0029593C">
        <w:rPr>
          <w:rFonts w:ascii="Arial" w:hAnsi="Arial" w:cs="Arial"/>
          <w:color w:val="000000" w:themeColor="text1"/>
        </w:rPr>
        <w:t xml:space="preserve"> it.</w:t>
      </w:r>
    </w:p>
    <w:p w14:paraId="73D6D876" w14:textId="77777777" w:rsidR="00D72ECE" w:rsidRPr="0029593C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7" w:name="what-success-would-change"/>
      <w:bookmarkEnd w:id="6"/>
      <w:r w:rsidRPr="0029593C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What success would change</w:t>
      </w:r>
    </w:p>
    <w:p w14:paraId="143B1A1C" w14:textId="77777777" w:rsidR="00D72ECE" w:rsidRPr="0029593C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29593C">
        <w:rPr>
          <w:rFonts w:ascii="Arial" w:hAnsi="Arial" w:cs="Arial"/>
          <w:color w:val="000000" w:themeColor="text1"/>
        </w:rPr>
        <w:t xml:space="preserve">A successful program replaces “which gene is broken?” with “which buffered network failed, in which cell, and how do we re-balance it?” — delivering (1) a single-cell Buffering Atlas of human immunity, (2) a sequence-to-clinic predictor of disease architecture and direction, and (3) first-in-class paralog-rebalancing therapeutic concepts. Each is independently valuable; together they would establish genetic buffering as a measurable, predictable, and </w:t>
      </w:r>
      <w:r w:rsidRPr="0029593C">
        <w:rPr>
          <w:rFonts w:ascii="Arial" w:hAnsi="Arial" w:cs="Arial"/>
          <w:i/>
          <w:color w:val="000000" w:themeColor="text1"/>
        </w:rPr>
        <w:t>druggable</w:t>
      </w:r>
      <w:r w:rsidRPr="0029593C">
        <w:rPr>
          <w:rFonts w:ascii="Arial" w:hAnsi="Arial" w:cs="Arial"/>
          <w:color w:val="000000" w:themeColor="text1"/>
        </w:rPr>
        <w:t xml:space="preserve"> layer of the genome.</w:t>
      </w:r>
    </w:p>
    <w:bookmarkEnd w:id="7"/>
    <w:p w14:paraId="60723432" w14:textId="77777777" w:rsidR="005C4DEA" w:rsidRPr="0029593C" w:rsidRDefault="005C4DEA">
      <w:pPr>
        <w:pStyle w:val="FirstParagraph"/>
        <w:rPr>
          <w:rFonts w:ascii="Arial" w:hAnsi="Arial" w:cs="Arial"/>
          <w:color w:val="000000" w:themeColor="text1"/>
        </w:rPr>
      </w:pPr>
    </w:p>
    <w:sectPr w:rsidR="005C4DEA" w:rsidRPr="0029593C" w:rsidSect="0029593C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6C772A" w14:textId="77777777" w:rsidR="0056466B" w:rsidRDefault="0056466B">
      <w:pPr>
        <w:spacing w:after="0"/>
      </w:pPr>
      <w:r>
        <w:separator/>
      </w:r>
    </w:p>
  </w:endnote>
  <w:endnote w:type="continuationSeparator" w:id="0">
    <w:p w14:paraId="26BFE92F" w14:textId="77777777" w:rsidR="0056466B" w:rsidRDefault="005646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652201" w14:textId="77777777" w:rsidR="0056466B" w:rsidRDefault="0056466B">
      <w:r>
        <w:separator/>
      </w:r>
    </w:p>
  </w:footnote>
  <w:footnote w:type="continuationSeparator" w:id="0">
    <w:p w14:paraId="5104BD6F" w14:textId="77777777" w:rsidR="0056466B" w:rsidRDefault="00564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2CA89E2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B6623AE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3698B6F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367025127">
    <w:abstractNumId w:val="1"/>
  </w:num>
  <w:num w:numId="2" w16cid:durableId="1025598994">
    <w:abstractNumId w:val="0"/>
  </w:num>
  <w:num w:numId="3" w16cid:durableId="1391536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4472248">
    <w:abstractNumId w:val="0"/>
  </w:num>
  <w:num w:numId="5" w16cid:durableId="5664594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9593C"/>
    <w:rsid w:val="004E29B3"/>
    <w:rsid w:val="0056466B"/>
    <w:rsid w:val="00590D07"/>
    <w:rsid w:val="005C4DEA"/>
    <w:rsid w:val="00784D58"/>
    <w:rsid w:val="008D6863"/>
    <w:rsid w:val="00927A2D"/>
    <w:rsid w:val="00B86B75"/>
    <w:rsid w:val="00BC48D5"/>
    <w:rsid w:val="00C36279"/>
    <w:rsid w:val="00D72ECE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F055B"/>
  <w15:docId w15:val="{22414B96-08B7-B243-81AD-69395DEE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1185</Words>
  <Characters>6755</Characters>
  <Application>Microsoft Office Word</Application>
  <DocSecurity>0</DocSecurity>
  <Lines>56</Lines>
  <Paragraphs>15</Paragraphs>
  <ScaleCrop>false</ScaleCrop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Buffering Code</dc:title>
  <dc:creator>Genetic redundancy as the hidden variable that decides whether a mutation causes disease — and how to retune it</dc:creator>
  <cp:keywords/>
  <cp:lastModifiedBy>Vahedi, Golnaz</cp:lastModifiedBy>
  <cp:revision>3</cp:revision>
  <dcterms:created xsi:type="dcterms:W3CDTF">2026-06-30T20:59:00Z</dcterms:created>
  <dcterms:modified xsi:type="dcterms:W3CDTF">2026-06-30T21:02:00Z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NIH Director’s Pioneer Award — concept proposal</vt:lpwstr>
  </property>
</Properties>
</file>