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B7" w:rsidRPr="0074208D" w:rsidRDefault="0078249D" w:rsidP="0078249D">
      <w:pPr>
        <w:pStyle w:val="a3"/>
        <w:numPr>
          <w:ilvl w:val="1"/>
          <w:numId w:val="1"/>
        </w:numPr>
        <w:rPr>
          <w:rFonts w:cstheme="minorHAnsi"/>
          <w:shd w:val="clear" w:color="auto" w:fill="FFFFFF"/>
        </w:rPr>
      </w:pPr>
      <w:bookmarkStart w:id="0" w:name="_GoBack"/>
      <w:r w:rsidRPr="0074208D">
        <w:rPr>
          <w:rFonts w:cstheme="minorHAnsi"/>
          <w:shd w:val="clear" w:color="auto" w:fill="FFFFFF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78249D" w:rsidRPr="0074208D" w:rsidRDefault="0078249D" w:rsidP="0078249D">
      <w:pPr>
        <w:rPr>
          <w:rFonts w:cstheme="minorHAnsi"/>
        </w:rPr>
      </w:pPr>
      <w:r w:rsidRPr="0074208D">
        <w:rPr>
          <w:rFonts w:cstheme="minorHAnsi"/>
        </w:rPr>
        <w:t>Структура:</w:t>
      </w:r>
    </w:p>
    <w:p w:rsidR="0078249D" w:rsidRPr="0074208D" w:rsidRDefault="0078249D" w:rsidP="0078249D">
      <w:pPr>
        <w:pStyle w:val="a3"/>
        <w:numPr>
          <w:ilvl w:val="0"/>
          <w:numId w:val="2"/>
        </w:numPr>
        <w:rPr>
          <w:rFonts w:cstheme="minorHAnsi"/>
        </w:rPr>
      </w:pPr>
      <w:r w:rsidRPr="0074208D">
        <w:rPr>
          <w:rFonts w:cstheme="minorHAnsi"/>
        </w:rPr>
        <w:t>Факультеты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Безопасности жизнедеятельности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Биологии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Географии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Изобразительного искусства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Математики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Русского языка как иностранного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Физики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Филологический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Химии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Юридический</w:t>
      </w:r>
    </w:p>
    <w:p w:rsidR="0078249D" w:rsidRPr="0074208D" w:rsidRDefault="0078249D" w:rsidP="0078249D">
      <w:pPr>
        <w:pStyle w:val="a3"/>
        <w:numPr>
          <w:ilvl w:val="0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Институты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музыки, театра и хореографии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иностранных языков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истории и социальных наук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востоковедения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экономики и управления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физической культуры и спорта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психологии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педагогики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народов Севера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дефектологического образования и реабилитации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информационных технологий и технологического образования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философии человека</w:t>
      </w:r>
    </w:p>
    <w:p w:rsidR="0078249D" w:rsidRPr="0074208D" w:rsidRDefault="0078249D" w:rsidP="0078249D">
      <w:pPr>
        <w:pStyle w:val="a3"/>
        <w:numPr>
          <w:ilvl w:val="1"/>
          <w:numId w:val="2"/>
        </w:numPr>
        <w:rPr>
          <w:rFonts w:cstheme="minorHAnsi"/>
        </w:rPr>
      </w:pPr>
      <w:r w:rsidRPr="0074208D">
        <w:rPr>
          <w:rFonts w:cstheme="minorHAnsi"/>
        </w:rPr>
        <w:t>Институт детства</w:t>
      </w:r>
    </w:p>
    <w:p w:rsidR="0078249D" w:rsidRPr="0074208D" w:rsidRDefault="0078249D" w:rsidP="0078249D">
      <w:pPr>
        <w:pStyle w:val="a3"/>
        <w:numPr>
          <w:ilvl w:val="0"/>
          <w:numId w:val="2"/>
        </w:numPr>
        <w:rPr>
          <w:rFonts w:cstheme="minorHAnsi"/>
        </w:rPr>
      </w:pPr>
      <w:r w:rsidRPr="0074208D">
        <w:rPr>
          <w:rFonts w:cstheme="minorHAnsi"/>
        </w:rPr>
        <w:t>Центры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УМЛ «Музыкально-компьютерные технологии»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Центр тестирования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Центр по работе с талантливой молодежью и абитуриентами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Психологическая служба сопровождения студентов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Центр духовно-нравственного просвещения «Покровский»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Ресурсный учебно-методический центр по обучению инвалидов и лиц с ограниченными возможностями здоровья</w:t>
      </w:r>
    </w:p>
    <w:p w:rsidR="0078249D" w:rsidRPr="0074208D" w:rsidRDefault="0078249D" w:rsidP="0078249D">
      <w:pPr>
        <w:pStyle w:val="a3"/>
        <w:numPr>
          <w:ilvl w:val="0"/>
          <w:numId w:val="4"/>
        </w:numPr>
        <w:rPr>
          <w:rFonts w:cstheme="minorHAnsi"/>
        </w:rPr>
      </w:pPr>
      <w:r w:rsidRPr="0074208D">
        <w:rPr>
          <w:rFonts w:cstheme="minorHAnsi"/>
        </w:rPr>
        <w:t>Центр содействия трудоустройству выпускников «Мост»</w:t>
      </w:r>
    </w:p>
    <w:p w:rsidR="0078249D" w:rsidRPr="0074208D" w:rsidRDefault="0078249D" w:rsidP="0078249D">
      <w:pPr>
        <w:pStyle w:val="a3"/>
        <w:numPr>
          <w:ilvl w:val="0"/>
          <w:numId w:val="2"/>
        </w:numPr>
        <w:rPr>
          <w:rFonts w:cstheme="minorHAnsi"/>
        </w:rPr>
      </w:pPr>
      <w:r w:rsidRPr="0074208D">
        <w:rPr>
          <w:rFonts w:cstheme="minorHAnsi"/>
        </w:rPr>
        <w:t>Другие подразделения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Учебно-методическое управление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бухгалтерского учета и финансового контроля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Учебное управление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закупок и продаж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информатизации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по связям с общественностью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дополнительного образования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кадров и социальной работы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ремонта, модернизации и перспективного развития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международного сотрудничества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обеспечения сотрудничества с образовательными организациями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lastRenderedPageBreak/>
        <w:t>Управление научных исследований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по обеспечению управлением имущественным комплексом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охраны и пожарной безопасности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Планово-финансовое управление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организации диссертационных исследований и аттестации кадров высшей квалификации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развитием воспитательной деятельности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развития педагогического образования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социально-бытового обеспечения и обслуживания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баз практик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Этический комитет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Педагогические вести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Библиотека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Музей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Отдел ученого секретаря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Отдел аспирантуры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Канцелярия (Организационно-контрольное управление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Отдел по работе с выпускниками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Русская роговая капелла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НОТА (Научно-образовательная теологическая ассоциация)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Офис по реализации стратегических проектов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Ассоциация студентов и выпускников РГПУ им. А. И. Герцена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Юридическая служба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Консультационно аналитический отдел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Штаб по делам ГО и ЧС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Учебно-жилой комплекс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Первый отдел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Второй отдел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Медико-оздоровительный центр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Управление главного инженера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Санкт-Петербургская высшая школа перевода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Гостиница и общежитие гостиничного типа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Студенческие общежития</w:t>
      </w:r>
    </w:p>
    <w:p w:rsidR="0078249D" w:rsidRPr="0074208D" w:rsidRDefault="0078249D" w:rsidP="0078249D">
      <w:pPr>
        <w:pStyle w:val="a3"/>
        <w:numPr>
          <w:ilvl w:val="0"/>
          <w:numId w:val="5"/>
        </w:numPr>
        <w:rPr>
          <w:rFonts w:cstheme="minorHAnsi"/>
        </w:rPr>
      </w:pPr>
      <w:r w:rsidRPr="0074208D">
        <w:rPr>
          <w:rFonts w:cstheme="minorHAnsi"/>
        </w:rPr>
        <w:t>Кафедра ЮНЕСКО</w:t>
      </w:r>
    </w:p>
    <w:p w:rsidR="005D7ED5" w:rsidRPr="0074208D" w:rsidRDefault="005D7ED5" w:rsidP="005D7ED5">
      <w:r w:rsidRPr="0074208D">
        <w:rPr>
          <w:rFonts w:cstheme="minorHAnsi"/>
          <w:shd w:val="clear" w:color="auto" w:fill="FFFFFF"/>
        </w:rPr>
        <w:t>Задачами</w:t>
      </w:r>
      <w:r w:rsidRPr="0074208D">
        <w:rPr>
          <w:rFonts w:cstheme="minorHAnsi"/>
          <w:shd w:val="clear" w:color="auto" w:fill="FFFFFF"/>
        </w:rPr>
        <w:t xml:space="preserve"> </w:t>
      </w:r>
      <w:r w:rsidRPr="0074208D">
        <w:rPr>
          <w:rFonts w:cstheme="minorHAnsi"/>
          <w:shd w:val="clear" w:color="auto" w:fill="FFFFFF"/>
        </w:rPr>
        <w:t>у</w:t>
      </w:r>
      <w:r w:rsidRPr="0074208D">
        <w:rPr>
          <w:rFonts w:cstheme="minorHAnsi"/>
          <w:shd w:val="clear" w:color="auto" w:fill="FFFFFF"/>
        </w:rPr>
        <w:t>ниверситета явля</w:t>
      </w:r>
      <w:r w:rsidRPr="0074208D">
        <w:rPr>
          <w:rFonts w:cstheme="minorHAnsi"/>
          <w:shd w:val="clear" w:color="auto" w:fill="FFFFFF"/>
        </w:rPr>
        <w:t>ют</w:t>
      </w:r>
      <w:r w:rsidRPr="0074208D">
        <w:rPr>
          <w:rFonts w:cstheme="minorHAnsi"/>
          <w:shd w:val="clear" w:color="auto" w:fill="FFFFFF"/>
        </w:rPr>
        <w:t>ся: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1) подготовка высококвалифицированных кадров по образовательным программам высшего образования и среднего профессионального образования в соответствии с потребностями общества и государства, удовлетворение потребностей личности в интеллектуальном, культурном и нравственном развитии;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2) создание условий для подготовки научными и педагогическими работниками диссертаций на соискание ученых степеней доктора наук, кандидата наук;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3) реализация дополнительных образовательных программ (дополнительных общеразвивающих программ, дополнительных предпрофессиональных программ, программ повышения квалификации и программ профессиональной переподготовки);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 xml:space="preserve">4) проведение фундаментальных и прикладных научных исследований, экспериментальных </w:t>
      </w:r>
      <w:r w:rsidRPr="0074208D">
        <w:rPr>
          <w:rFonts w:cstheme="minorHAnsi"/>
          <w:shd w:val="clear" w:color="auto" w:fill="FFFFFF"/>
        </w:rPr>
        <w:lastRenderedPageBreak/>
        <w:t>разработок, опытно-конструкторских и технологических работ, экспертных, аналитических работ, распространение современных научных знаний в российском обществе, в том числе в профессиональных сообществах;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5) выполнение научных исследований и экспертно-аналитических работ по заданию Учредителя, в том числе подготовка рекомендаций и предложений по вопросам научно-технической и инновационной политики;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6) распространение знаний среди специалистов и широких групп населения, повышение его образовательного и культурного уровня;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7) формирование современной материально-технической базы для организации и проведения научных исследований и образовательного процесса в целях эффективной реализации уставной деятельности Университета;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8) научно-методическое и кадровое обеспечение развития науки и образования в Российской Федерации, обеспечение конкурентоспособности Университета по отношению к ведущим зарубежным образовательным и исследовательским центрам;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9) распространение зарубежного и (или) накопленного в Университете научного и образовательного опыта путем издания научных монографий, учебников, учебных пособий, периодических изданий и другой издательской продукции на русском и иностранных языках;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10) содействие распространению инновационных практик;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11) продвижение образовательных и исследовательских программ в международное образовательное и научное пространство;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rPr>
          <w:rFonts w:cstheme="minorHAnsi"/>
          <w:shd w:val="clear" w:color="auto" w:fill="FFFFFF"/>
        </w:rPr>
        <w:t>12) обеспечение практического внедрения результатов интеллектуальной деятельности Университета, в том числе за счет их коммерциализации.</w:t>
      </w:r>
      <w:r w:rsidRPr="0074208D">
        <w:rPr>
          <w:rFonts w:cstheme="minorHAnsi"/>
        </w:rPr>
        <w:br/>
      </w:r>
      <w:r w:rsidRPr="0074208D">
        <w:rPr>
          <w:rFonts w:cstheme="minorHAnsi"/>
        </w:rPr>
        <w:br/>
      </w:r>
      <w:r w:rsidRPr="0074208D">
        <w:t xml:space="preserve">Проблемы и перспективы развития организации. </w:t>
      </w:r>
    </w:p>
    <w:p w:rsidR="005D7ED5" w:rsidRPr="0074208D" w:rsidRDefault="005D7ED5" w:rsidP="005D7ED5">
      <w:r w:rsidRPr="0074208D">
        <w:t xml:space="preserve">1. Совершенствование кадровой и социальной политики университета, что предполагает: </w:t>
      </w:r>
    </w:p>
    <w:p w:rsidR="005D7ED5" w:rsidRPr="0074208D" w:rsidRDefault="005D7ED5" w:rsidP="005D7ED5">
      <w:r w:rsidRPr="0074208D">
        <w:t xml:space="preserve">- перевод трудовых взаимоотношений на основу эффективного контракта; </w:t>
      </w:r>
    </w:p>
    <w:p w:rsidR="005D7ED5" w:rsidRPr="0074208D" w:rsidRDefault="005D7ED5" w:rsidP="005D7ED5">
      <w:r w:rsidRPr="0074208D">
        <w:t xml:space="preserve">- разработку модели служебного задания для разных категорий работников, алгоритма конкретизации его содержания; </w:t>
      </w:r>
    </w:p>
    <w:p w:rsidR="005D7ED5" w:rsidRPr="0074208D" w:rsidRDefault="005D7ED5" w:rsidP="005D7ED5">
      <w:r w:rsidRPr="0074208D">
        <w:t xml:space="preserve">- развитие системы аттестации сотрудников, мониторинга, рейтинговых и конкурсных процедур; - улучшение эргономических, санитарно-гигиенических условий труда и обучения, расширение возможностей получения дополнительного медицинского страхования, организацию досуга и отдыха сотрудников и обучающихся. </w:t>
      </w:r>
    </w:p>
    <w:p w:rsidR="005D7ED5" w:rsidRPr="0074208D" w:rsidRDefault="005D7ED5" w:rsidP="005D7ED5">
      <w:r w:rsidRPr="0074208D">
        <w:t xml:space="preserve">2. Развитие профессионального сообщества, что предполагает: </w:t>
      </w:r>
    </w:p>
    <w:p w:rsidR="005D7ED5" w:rsidRPr="0074208D" w:rsidRDefault="005D7ED5" w:rsidP="005D7ED5">
      <w:r w:rsidRPr="0074208D">
        <w:t>- разработку и внедрение новых моделей повышения квалификации опережающего характера для сотрудников университета, в основу которых положены лучшие практики реализации инновационных идей и проектов (финансовый менеджмент, международная коммуникация и др.);</w:t>
      </w:r>
    </w:p>
    <w:p w:rsidR="005D7ED5" w:rsidRPr="0074208D" w:rsidRDefault="005D7ED5" w:rsidP="005D7ED5">
      <w:r w:rsidRPr="0074208D">
        <w:lastRenderedPageBreak/>
        <w:t xml:space="preserve">- перевод системы менеджмента университета на проектные принципы, создание временных проектных и </w:t>
      </w:r>
      <w:proofErr w:type="spellStart"/>
      <w:r w:rsidRPr="0074208D">
        <w:t>научноисследовательских</w:t>
      </w:r>
      <w:proofErr w:type="spellEnd"/>
      <w:r w:rsidRPr="0074208D">
        <w:t xml:space="preserve"> коллективов для решения конкретных задач. </w:t>
      </w:r>
    </w:p>
    <w:p w:rsidR="005D7ED5" w:rsidRPr="0074208D" w:rsidRDefault="005D7ED5" w:rsidP="005D7ED5">
      <w:r w:rsidRPr="0074208D">
        <w:t xml:space="preserve">3. Развитие корпоративной культуры университета, что предполагает: </w:t>
      </w:r>
    </w:p>
    <w:p w:rsidR="005D7ED5" w:rsidRPr="0074208D" w:rsidRDefault="005D7ED5" w:rsidP="005D7ED5">
      <w:r w:rsidRPr="0074208D">
        <w:t xml:space="preserve">- формирование сообщества </w:t>
      </w:r>
    </w:p>
    <w:p w:rsidR="005D7ED5" w:rsidRPr="0074208D" w:rsidRDefault="005D7ED5" w:rsidP="005D7ED5">
      <w:r w:rsidRPr="0074208D">
        <w:t xml:space="preserve">4. Разработка механизмов формирования глобальной узнаваемости </w:t>
      </w:r>
      <w:proofErr w:type="spellStart"/>
      <w:r w:rsidRPr="0074208D">
        <w:t>Герценовского</w:t>
      </w:r>
      <w:proofErr w:type="spellEnd"/>
      <w:r w:rsidRPr="0074208D">
        <w:t xml:space="preserve"> университета в информационном пространстве, что предполагает: </w:t>
      </w:r>
    </w:p>
    <w:p w:rsidR="005D7ED5" w:rsidRPr="0074208D" w:rsidRDefault="005D7ED5" w:rsidP="005D7ED5">
      <w:r w:rsidRPr="0074208D">
        <w:t xml:space="preserve">- запуск и поддержку новой версии корпоративного сайта </w:t>
      </w:r>
    </w:p>
    <w:p w:rsidR="005D7ED5" w:rsidRPr="0074208D" w:rsidRDefault="005D7ED5" w:rsidP="005D7ED5">
      <w:r w:rsidRPr="0074208D">
        <w:t xml:space="preserve">5. Модернизация и интенсивное развитие материально-технической базы, что предполагает: </w:t>
      </w:r>
    </w:p>
    <w:p w:rsidR="005D7ED5" w:rsidRPr="0074208D" w:rsidRDefault="005D7ED5" w:rsidP="005D7ED5">
      <w:r w:rsidRPr="0074208D">
        <w:t xml:space="preserve">- выполнение комплекса мероприятий по энергосбережению; - переоборудование ряда помещений для увеличения площадей, используемых в учебном процессе; - повышение комфортности жилых помещений, многоплановое переоборудование учебных корпусов с целью создания доступной среды для маломобильных групп населения. </w:t>
      </w:r>
    </w:p>
    <w:p w:rsidR="0074208D" w:rsidRPr="0074208D" w:rsidRDefault="0074208D" w:rsidP="00FA7C05">
      <w:r w:rsidRPr="0074208D">
        <w:t>Взаимодействие.</w:t>
      </w:r>
    </w:p>
    <w:p w:rsidR="0074208D" w:rsidRPr="0074208D" w:rsidRDefault="00FA7C05" w:rsidP="00FA7C05">
      <w:r w:rsidRPr="0074208D">
        <w:t xml:space="preserve">Университет договорные отношения с работодателями в сфере образования, бизнеса, крупного производства, в социальной сфере, средствах массовой информации, органах власти и управления. </w:t>
      </w:r>
    </w:p>
    <w:p w:rsidR="0074208D" w:rsidRPr="0074208D" w:rsidRDefault="0074208D" w:rsidP="00FA7C05">
      <w:r w:rsidRPr="0074208D">
        <w:t xml:space="preserve">Сегодня </w:t>
      </w:r>
      <w:proofErr w:type="spellStart"/>
      <w:r w:rsidRPr="0074208D">
        <w:t>Герценовский</w:t>
      </w:r>
      <w:proofErr w:type="spellEnd"/>
      <w:r w:rsidRPr="0074208D">
        <w:t xml:space="preserve"> признан в качестве авторитетного мирового научно-образовательного центра. Он поддерживает договорные отношения с более чем 140 зарубежными университетами и различными образовательными учреждениями из 38 стран Европы, Азии и Америки.  Особое место в международных связях РГПУ принадлежит вузам стран ближнего зарубежья. На сегодняшний день нашим университетом заключены и поддерживаются договорные отношения с 15 вузами из стран СНГ (Белоруссия, Украина, Казахстан и Кыргызстан).</w:t>
      </w:r>
    </w:p>
    <w:p w:rsidR="0074208D" w:rsidRPr="0074208D" w:rsidRDefault="0074208D" w:rsidP="0074208D">
      <w:r w:rsidRPr="0074208D">
        <w:t>Взаимодействие.</w:t>
      </w:r>
    </w:p>
    <w:p w:rsidR="0074208D" w:rsidRPr="0074208D" w:rsidRDefault="0074208D" w:rsidP="0074208D">
      <w:r w:rsidRPr="0074208D">
        <w:t xml:space="preserve">Университет имеет не только договорные отношения с работодателями в сфере образования, но и бизнеса, крупного производства, в социальной сфере, средствах массовой информации, органах власти и управления. </w:t>
      </w:r>
    </w:p>
    <w:p w:rsidR="0074208D" w:rsidRPr="0074208D" w:rsidRDefault="0074208D" w:rsidP="0074208D">
      <w:r w:rsidRPr="0074208D">
        <w:t>Ежегодно на основе межправительственных и межвузовских соглашений за рубежом по широкому кругу специальностей обучаются, проходят стажировки и повышают свою квалификацию десятки студентов и магистрантов и более сотни преподавателей, сотрудников и аспирантов университета. Десятки преподавателей и сотрудников университета по приглашениям зарубежных партнеров командируются за рубеж для проведения учебного процесса, научно-исследовательской и методической работы в вузах США, Китая, Германии, Польши, Венгрии, Израиля, Финляндии, Кореи и других стран. Ученые университета принимают участие в различных международных конференциях, симпозиумах и семинарах, осуществляют научное консультирование международных исследовательских проектов, возглавляют или являются членами различных организационных комитетов международных научных мероприятий, конкурсов.</w:t>
      </w:r>
    </w:p>
    <w:p w:rsidR="0074208D" w:rsidRPr="0074208D" w:rsidRDefault="0074208D" w:rsidP="0074208D">
      <w:r w:rsidRPr="0074208D">
        <w:t xml:space="preserve">В последние годы университет идет по пути расширения международных контактов и увеличения количества совместных исследовательских проектов с иностранными партнерами. Партнерами ученых университета в международных исследованиях, контактах являются такие профессиональные организации и общества как Национальный Совет учителей математики США, Международная организация “Педагогика ненасилия” (США, Франция), Международный Вагнеровский Союз (США, Австрия, Германия, Швейцария), Ассоциация гуманистической </w:t>
      </w:r>
      <w:r w:rsidRPr="0074208D">
        <w:lastRenderedPageBreak/>
        <w:t>психологии (США), Австрийский союз академиков, Европейское общество преподавателей английского языка и литературы и др. Традиционным становится вовлечение студентов в международные научные исследования.</w:t>
      </w:r>
    </w:p>
    <w:p w:rsidR="0074208D" w:rsidRPr="0074208D" w:rsidRDefault="0074208D" w:rsidP="0074208D">
      <w:r w:rsidRPr="0074208D">
        <w:t>На протяжении многих лет университет активно сотрудничает с международными региональными и национальными организациями, фондами и программами в области науки, образования и культуры: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ЮНЕСКО,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Американскими Советами международного образования (АСМО),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Американским культурно-информационным центром,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Советом министров Северных стран,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Институтом Гете,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ДААД (Немецкой государственной службой академических обменов),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Французским институтом в Санкт-Петербурге,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Институтом Финляндии в Санкт-Петербурге,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Израильский культурный центр,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Датским институтом культуры,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Норвежским университетским центром,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Представительством университета Осло в Санкт-Петербурге,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 xml:space="preserve">фондами </w:t>
      </w:r>
      <w:proofErr w:type="spellStart"/>
      <w:r w:rsidRPr="0074208D">
        <w:t>Фулбрайт</w:t>
      </w:r>
      <w:proofErr w:type="spellEnd"/>
      <w:r w:rsidRPr="0074208D">
        <w:t>, АЙРЕКС, ИНТАС, КАРНЕГИ,</w:t>
      </w:r>
    </w:p>
    <w:p w:rsidR="0074208D" w:rsidRPr="0074208D" w:rsidRDefault="0074208D" w:rsidP="0074208D">
      <w:pPr>
        <w:pStyle w:val="a3"/>
        <w:numPr>
          <w:ilvl w:val="0"/>
          <w:numId w:val="6"/>
        </w:numPr>
      </w:pPr>
      <w:r w:rsidRPr="0074208D">
        <w:t>участвует во многих международных программах (TEMPUS — TACIS и др.) и проектах.</w:t>
      </w:r>
    </w:p>
    <w:bookmarkEnd w:id="0"/>
    <w:p w:rsidR="005D7ED5" w:rsidRPr="0074208D" w:rsidRDefault="005D7ED5" w:rsidP="0074208D">
      <w:pPr>
        <w:rPr>
          <w:rFonts w:cstheme="minorHAnsi"/>
        </w:rPr>
      </w:pPr>
    </w:p>
    <w:sectPr w:rsidR="005D7ED5" w:rsidRPr="0074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9D3"/>
    <w:multiLevelType w:val="hybridMultilevel"/>
    <w:tmpl w:val="CAA0E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602E"/>
    <w:multiLevelType w:val="multilevel"/>
    <w:tmpl w:val="236C44F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84275F"/>
    <w:multiLevelType w:val="hybridMultilevel"/>
    <w:tmpl w:val="1EC838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12FEA"/>
    <w:multiLevelType w:val="hybridMultilevel"/>
    <w:tmpl w:val="C79AE3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C8080D"/>
    <w:multiLevelType w:val="hybridMultilevel"/>
    <w:tmpl w:val="03DC4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B22C8"/>
    <w:multiLevelType w:val="hybridMultilevel"/>
    <w:tmpl w:val="160875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9D"/>
    <w:rsid w:val="00275B2D"/>
    <w:rsid w:val="005D7ED5"/>
    <w:rsid w:val="0074208D"/>
    <w:rsid w:val="0078249D"/>
    <w:rsid w:val="00D33E48"/>
    <w:rsid w:val="00FA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CBDE"/>
  <w15:chartTrackingRefBased/>
  <w15:docId w15:val="{DAEBA406-50E5-4E69-84EB-5C790CBF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</cp:revision>
  <dcterms:created xsi:type="dcterms:W3CDTF">2020-12-23T11:58:00Z</dcterms:created>
  <dcterms:modified xsi:type="dcterms:W3CDTF">2020-12-23T12:45:00Z</dcterms:modified>
</cp:coreProperties>
</file>