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54D11" w14:textId="509F30CC" w:rsidR="0061771C" w:rsidRPr="007A2CE7" w:rsidRDefault="0061771C" w:rsidP="00382B56">
      <w:pPr>
        <w:spacing w:before="240" w:line="360" w:lineRule="auto"/>
        <w:ind w:firstLine="720"/>
        <w:jc w:val="center"/>
        <w:rPr>
          <w:rFonts w:ascii="Arial" w:eastAsia="Times New Roman" w:hAnsi="Arial" w:cs="Arial"/>
          <w:b/>
          <w:bCs/>
          <w:color w:val="1B1B1B"/>
          <w:kern w:val="0"/>
          <w:sz w:val="22"/>
          <w:szCs w:val="22"/>
          <w:shd w:val="clear" w:color="auto" w:fill="FFFFFF"/>
          <w14:ligatures w14:val="none"/>
        </w:rPr>
      </w:pPr>
      <w:r w:rsidRPr="007A2CE7">
        <w:rPr>
          <w:rFonts w:ascii="Arial" w:eastAsia="Times New Roman" w:hAnsi="Arial" w:cs="Arial"/>
          <w:b/>
          <w:bCs/>
          <w:color w:val="1B1B1B"/>
          <w:kern w:val="0"/>
          <w:sz w:val="22"/>
          <w:szCs w:val="22"/>
          <w:shd w:val="clear" w:color="auto" w:fill="FFFFFF"/>
          <w14:ligatures w14:val="none"/>
        </w:rPr>
        <w:t>Clinical Outcomes by Route of Vancomycin Administration for Prosthetic Joint Infection Prophylaxis in Primary Total Knee Arthroplasty: A Systematic Review and Meta-Analysis</w:t>
      </w:r>
      <w:r w:rsidR="00DF3E96" w:rsidRPr="007A2CE7">
        <w:rPr>
          <w:rFonts w:ascii="Arial" w:eastAsia="Times New Roman" w:hAnsi="Arial" w:cs="Arial"/>
          <w:b/>
          <w:bCs/>
          <w:color w:val="1B1B1B"/>
          <w:kern w:val="0"/>
          <w:sz w:val="22"/>
          <w:szCs w:val="22"/>
          <w:shd w:val="clear" w:color="auto" w:fill="FFFFFF"/>
          <w14:ligatures w14:val="none"/>
        </w:rPr>
        <w:t>.</w:t>
      </w:r>
    </w:p>
    <w:p w14:paraId="6F6649C9" w14:textId="556A0854" w:rsidR="00D03755" w:rsidRPr="007A2CE7" w:rsidRDefault="00D03755" w:rsidP="00382B56">
      <w:pPr>
        <w:spacing w:before="240" w:line="360" w:lineRule="auto"/>
        <w:ind w:firstLine="720"/>
        <w:jc w:val="center"/>
        <w:rPr>
          <w:rFonts w:ascii="Arial" w:eastAsia="Times New Roman" w:hAnsi="Arial" w:cs="Arial"/>
          <w:color w:val="1B1B1B"/>
          <w:kern w:val="0"/>
          <w:sz w:val="22"/>
          <w:szCs w:val="22"/>
          <w:shd w:val="clear" w:color="auto" w:fill="FFFFFF"/>
          <w14:ligatures w14:val="none"/>
        </w:rPr>
      </w:pPr>
      <w:r w:rsidRPr="007A2CE7">
        <w:rPr>
          <w:rFonts w:ascii="Arial" w:eastAsia="Times New Roman" w:hAnsi="Arial" w:cs="Arial"/>
          <w:color w:val="1B1B1B"/>
          <w:kern w:val="0"/>
          <w:sz w:val="22"/>
          <w:szCs w:val="22"/>
          <w:u w:val="single"/>
          <w:shd w:val="clear" w:color="auto" w:fill="FFFFFF"/>
          <w14:ligatures w14:val="none"/>
        </w:rPr>
        <w:t>Running title:</w:t>
      </w:r>
      <w:r w:rsidRPr="007A2CE7">
        <w:rPr>
          <w:rFonts w:ascii="Arial" w:eastAsia="Times New Roman" w:hAnsi="Arial" w:cs="Arial"/>
          <w:color w:val="1B1B1B"/>
          <w:kern w:val="0"/>
          <w:sz w:val="22"/>
          <w:szCs w:val="22"/>
          <w:shd w:val="clear" w:color="auto" w:fill="FFFFFF"/>
          <w14:ligatures w14:val="none"/>
        </w:rPr>
        <w:t xml:space="preserve"> </w:t>
      </w:r>
      <w:r w:rsidR="00971D5A" w:rsidRPr="007A2CE7">
        <w:rPr>
          <w:rFonts w:ascii="Arial" w:eastAsia="Times New Roman" w:hAnsi="Arial" w:cs="Arial"/>
          <w:color w:val="1B1B1B"/>
          <w:kern w:val="0"/>
          <w:sz w:val="22"/>
          <w:szCs w:val="22"/>
          <w:shd w:val="clear" w:color="auto" w:fill="FFFFFF"/>
          <w14:ligatures w14:val="none"/>
        </w:rPr>
        <w:t>Vancomycin Route for PJI Prophylaxis in TKA</w:t>
      </w:r>
    </w:p>
    <w:p w14:paraId="69DC8218" w14:textId="333994DD" w:rsidR="00382B56" w:rsidRPr="007A2CE7" w:rsidRDefault="00382B56" w:rsidP="00382B56">
      <w:pPr>
        <w:spacing w:before="240" w:line="360" w:lineRule="auto"/>
        <w:ind w:firstLine="720"/>
        <w:jc w:val="center"/>
        <w:rPr>
          <w:rFonts w:ascii="Arial" w:eastAsia="Times New Roman" w:hAnsi="Arial" w:cs="Arial"/>
          <w:kern w:val="0"/>
          <w:sz w:val="22"/>
          <w:szCs w:val="22"/>
          <w14:ligatures w14:val="none"/>
        </w:rPr>
      </w:pPr>
      <w:r w:rsidRPr="007A2CE7">
        <w:rPr>
          <w:rFonts w:ascii="Arial" w:eastAsia="Times New Roman" w:hAnsi="Arial" w:cs="Arial"/>
          <w:color w:val="1B1B1B"/>
          <w:kern w:val="0"/>
          <w:sz w:val="22"/>
          <w:szCs w:val="22"/>
          <w:shd w:val="clear" w:color="auto" w:fill="FFFFFF"/>
          <w14:ligatures w14:val="none"/>
        </w:rPr>
        <w:t>PROSPERO ID:</w:t>
      </w:r>
      <w:r w:rsidRPr="007A2CE7">
        <w:rPr>
          <w:rFonts w:ascii="Arial" w:eastAsia="Times New Roman" w:hAnsi="Arial" w:cs="Arial"/>
          <w:color w:val="212529"/>
          <w:kern w:val="0"/>
          <w:sz w:val="22"/>
          <w:szCs w:val="22"/>
          <w:shd w:val="clear" w:color="auto" w:fill="FFFFFF"/>
          <w14:ligatures w14:val="none"/>
        </w:rPr>
        <w:t xml:space="preserve"> CRD4</w:t>
      </w:r>
      <w:r w:rsidR="00B066D3" w:rsidRPr="007A2CE7">
        <w:rPr>
          <w:rFonts w:ascii="Arial" w:eastAsia="Times New Roman" w:hAnsi="Arial" w:cs="Arial"/>
          <w:color w:val="212529"/>
          <w:kern w:val="0"/>
          <w:sz w:val="22"/>
          <w:szCs w:val="22"/>
          <w:shd w:val="clear" w:color="auto" w:fill="FFFFFF"/>
          <w14:ligatures w14:val="none"/>
        </w:rPr>
        <w:t>20261471147</w:t>
      </w:r>
    </w:p>
    <w:p w14:paraId="5571DB33" w14:textId="781DA84D" w:rsidR="00191949" w:rsidRPr="007A2CE7" w:rsidRDefault="00191949" w:rsidP="00382B56">
      <w:pPr>
        <w:spacing w:before="240" w:line="360" w:lineRule="auto"/>
        <w:ind w:firstLine="720"/>
        <w:jc w:val="both"/>
        <w:rPr>
          <w:rFonts w:ascii="Arial" w:eastAsia="Times New Roman" w:hAnsi="Arial" w:cs="Arial"/>
          <w:kern w:val="0"/>
          <w:sz w:val="22"/>
          <w:szCs w:val="22"/>
          <w14:ligatures w14:val="none"/>
        </w:rPr>
      </w:pPr>
      <w:r w:rsidRPr="007A2CE7">
        <w:rPr>
          <w:rFonts w:ascii="Arial" w:eastAsia="Times New Roman" w:hAnsi="Arial" w:cs="Arial"/>
          <w:color w:val="1B1B1B"/>
          <w:kern w:val="0"/>
          <w:sz w:val="22"/>
          <w:szCs w:val="22"/>
          <w:shd w:val="clear" w:color="auto" w:fill="FFFFFF"/>
          <w14:ligatures w14:val="none"/>
        </w:rPr>
        <w:t>Ben Wajda</w:t>
      </w:r>
      <w:r w:rsidRPr="007A2CE7">
        <w:rPr>
          <w:rFonts w:ascii="Arial" w:eastAsia="Times New Roman" w:hAnsi="Arial" w:cs="Arial"/>
          <w:color w:val="1B1B1B"/>
          <w:kern w:val="0"/>
          <w:sz w:val="22"/>
          <w:szCs w:val="22"/>
          <w:shd w:val="clear" w:color="auto" w:fill="FFFFFF"/>
          <w:vertAlign w:val="superscript"/>
          <w14:ligatures w14:val="none"/>
        </w:rPr>
        <w:t>1</w:t>
      </w:r>
      <w:r w:rsidRPr="007A2CE7">
        <w:rPr>
          <w:rFonts w:ascii="Arial" w:eastAsia="Times New Roman" w:hAnsi="Arial" w:cs="Arial"/>
          <w:color w:val="1B1B1B"/>
          <w:kern w:val="0"/>
          <w:sz w:val="22"/>
          <w:szCs w:val="22"/>
          <w:shd w:val="clear" w:color="auto" w:fill="FFFFFF"/>
          <w14:ligatures w14:val="none"/>
        </w:rPr>
        <w:t xml:space="preserve">, MSc, MD, </w:t>
      </w:r>
      <w:r w:rsidR="0061771C" w:rsidRPr="007A2CE7">
        <w:rPr>
          <w:rFonts w:ascii="Arial" w:eastAsia="Times New Roman" w:hAnsi="Arial" w:cs="Arial"/>
          <w:color w:val="1B1B1B"/>
          <w:kern w:val="0"/>
          <w:sz w:val="22"/>
          <w:szCs w:val="22"/>
          <w:shd w:val="clear" w:color="auto" w:fill="FFFFFF"/>
          <w14:ligatures w14:val="none"/>
        </w:rPr>
        <w:t>Reva Qiu</w:t>
      </w:r>
      <w:r w:rsidRPr="007A2CE7">
        <w:rPr>
          <w:rFonts w:ascii="Arial" w:eastAsia="Times New Roman" w:hAnsi="Arial" w:cs="Arial"/>
          <w:color w:val="1B1B1B"/>
          <w:kern w:val="0"/>
          <w:sz w:val="22"/>
          <w:szCs w:val="22"/>
          <w:shd w:val="clear" w:color="auto" w:fill="FFFFFF"/>
          <w14:ligatures w14:val="none"/>
        </w:rPr>
        <w:t xml:space="preserve">, MD, </w:t>
      </w:r>
      <w:r w:rsidR="0061771C" w:rsidRPr="007A2CE7">
        <w:rPr>
          <w:rFonts w:ascii="Arial" w:eastAsia="Times New Roman" w:hAnsi="Arial" w:cs="Arial"/>
          <w:color w:val="1B1B1B"/>
          <w:kern w:val="0"/>
          <w:sz w:val="22"/>
          <w:szCs w:val="22"/>
          <w:shd w:val="clear" w:color="auto" w:fill="FFFFFF"/>
          <w14:ligatures w14:val="none"/>
        </w:rPr>
        <w:t>Mallika Makkar</w:t>
      </w:r>
      <w:r w:rsidRPr="007A2CE7">
        <w:rPr>
          <w:rFonts w:ascii="Arial" w:eastAsia="Times New Roman" w:hAnsi="Arial" w:cs="Arial"/>
          <w:color w:val="1B1B1B"/>
          <w:kern w:val="0"/>
          <w:sz w:val="22"/>
          <w:szCs w:val="22"/>
          <w:shd w:val="clear" w:color="auto" w:fill="FFFFFF"/>
          <w14:ligatures w14:val="none"/>
        </w:rPr>
        <w:t xml:space="preserve">, MD, </w:t>
      </w:r>
      <w:r w:rsidR="0056593A" w:rsidRPr="007A2CE7">
        <w:rPr>
          <w:rFonts w:ascii="Arial" w:eastAsia="Times New Roman" w:hAnsi="Arial" w:cs="Arial"/>
          <w:color w:val="1B1B1B"/>
          <w:kern w:val="0"/>
          <w:sz w:val="22"/>
          <w:szCs w:val="22"/>
          <w:shd w:val="clear" w:color="auto" w:fill="FFFFFF"/>
          <w14:ligatures w14:val="none"/>
        </w:rPr>
        <w:t xml:space="preserve">Colin Rey, </w:t>
      </w:r>
      <w:r w:rsidR="007A2CE7" w:rsidRPr="007A2CE7">
        <w:rPr>
          <w:rFonts w:ascii="Arial" w:eastAsia="Times New Roman" w:hAnsi="Arial" w:cs="Arial"/>
          <w:color w:val="1B1B1B"/>
          <w:kern w:val="0"/>
          <w:sz w:val="22"/>
          <w:szCs w:val="22"/>
          <w:shd w:val="clear" w:color="auto" w:fill="FFFFFF"/>
          <w14:ligatures w14:val="none"/>
        </w:rPr>
        <w:t xml:space="preserve">MSc, </w:t>
      </w:r>
      <w:r w:rsidR="0056593A" w:rsidRPr="007A2CE7">
        <w:rPr>
          <w:rFonts w:ascii="Arial" w:eastAsia="Times New Roman" w:hAnsi="Arial" w:cs="Arial"/>
          <w:color w:val="1B1B1B"/>
          <w:kern w:val="0"/>
          <w:sz w:val="22"/>
          <w:szCs w:val="22"/>
          <w:shd w:val="clear" w:color="auto" w:fill="FFFFFF"/>
          <w14:ligatures w14:val="none"/>
        </w:rPr>
        <w:t xml:space="preserve">MD, </w:t>
      </w:r>
      <w:proofErr w:type="spellStart"/>
      <w:r w:rsidRPr="007A2CE7">
        <w:rPr>
          <w:rFonts w:ascii="Arial" w:eastAsia="Times New Roman" w:hAnsi="Arial" w:cs="Arial"/>
          <w:color w:val="1B1B1B"/>
          <w:kern w:val="0"/>
          <w:sz w:val="22"/>
          <w:szCs w:val="22"/>
          <w:shd w:val="clear" w:color="auto" w:fill="FFFFFF"/>
          <w14:ligatures w14:val="none"/>
        </w:rPr>
        <w:t>Golpira</w:t>
      </w:r>
      <w:proofErr w:type="spellEnd"/>
      <w:r w:rsidRPr="007A2CE7">
        <w:rPr>
          <w:rFonts w:ascii="Arial" w:eastAsia="Times New Roman" w:hAnsi="Arial" w:cs="Arial"/>
          <w:color w:val="1B1B1B"/>
          <w:kern w:val="0"/>
          <w:sz w:val="22"/>
          <w:szCs w:val="22"/>
          <w:shd w:val="clear" w:color="auto" w:fill="FFFFFF"/>
          <w14:ligatures w14:val="none"/>
        </w:rPr>
        <w:t xml:space="preserve"> </w:t>
      </w:r>
      <w:proofErr w:type="spellStart"/>
      <w:r w:rsidRPr="007A2CE7">
        <w:rPr>
          <w:rFonts w:ascii="Arial" w:eastAsia="Times New Roman" w:hAnsi="Arial" w:cs="Arial"/>
          <w:color w:val="1B1B1B"/>
          <w:kern w:val="0"/>
          <w:sz w:val="22"/>
          <w:szCs w:val="22"/>
          <w:shd w:val="clear" w:color="auto" w:fill="FFFFFF"/>
          <w14:ligatures w14:val="none"/>
        </w:rPr>
        <w:t>Elmi</w:t>
      </w:r>
      <w:proofErr w:type="spellEnd"/>
      <w:r w:rsidRPr="007A2CE7">
        <w:rPr>
          <w:rFonts w:ascii="Arial" w:eastAsia="Times New Roman" w:hAnsi="Arial" w:cs="Arial"/>
          <w:color w:val="1B1B1B"/>
          <w:kern w:val="0"/>
          <w:sz w:val="22"/>
          <w:szCs w:val="22"/>
          <w:shd w:val="clear" w:color="auto" w:fill="FFFFFF"/>
          <w14:ligatures w14:val="none"/>
        </w:rPr>
        <w:t xml:space="preserve"> Assadzadeh</w:t>
      </w:r>
      <w:r w:rsidRPr="007A2CE7">
        <w:rPr>
          <w:rFonts w:ascii="Arial" w:eastAsia="Times New Roman" w:hAnsi="Arial" w:cs="Arial"/>
          <w:color w:val="1B1B1B"/>
          <w:kern w:val="0"/>
          <w:sz w:val="22"/>
          <w:szCs w:val="22"/>
          <w:shd w:val="clear" w:color="auto" w:fill="FFFFFF"/>
          <w:vertAlign w:val="superscript"/>
          <w14:ligatures w14:val="none"/>
        </w:rPr>
        <w:t>1</w:t>
      </w:r>
      <w:r w:rsidRPr="007A2CE7">
        <w:rPr>
          <w:rFonts w:ascii="Arial" w:eastAsia="Times New Roman" w:hAnsi="Arial" w:cs="Arial"/>
          <w:color w:val="1B1B1B"/>
          <w:kern w:val="0"/>
          <w:sz w:val="22"/>
          <w:szCs w:val="22"/>
          <w:shd w:val="clear" w:color="auto" w:fill="FFFFFF"/>
          <w14:ligatures w14:val="none"/>
        </w:rPr>
        <w:t>, PhD, Rajrishi Sharma</w:t>
      </w:r>
      <w:r w:rsidRPr="007A2CE7">
        <w:rPr>
          <w:rFonts w:ascii="Arial" w:eastAsia="Times New Roman" w:hAnsi="Arial" w:cs="Arial"/>
          <w:color w:val="1B1B1B"/>
          <w:kern w:val="0"/>
          <w:sz w:val="22"/>
          <w:szCs w:val="22"/>
          <w:shd w:val="clear" w:color="auto" w:fill="FFFFFF"/>
          <w:vertAlign w:val="superscript"/>
          <w14:ligatures w14:val="none"/>
        </w:rPr>
        <w:t>1</w:t>
      </w:r>
      <w:r w:rsidRPr="007A2CE7">
        <w:rPr>
          <w:rFonts w:ascii="Arial" w:eastAsia="Times New Roman" w:hAnsi="Arial" w:cs="Arial"/>
          <w:color w:val="1B1B1B"/>
          <w:kern w:val="0"/>
          <w:sz w:val="22"/>
          <w:szCs w:val="22"/>
          <w:shd w:val="clear" w:color="auto" w:fill="FFFFFF"/>
          <w14:ligatures w14:val="none"/>
        </w:rPr>
        <w:t xml:space="preserve">, </w:t>
      </w:r>
      <w:r w:rsidR="007A2CE7" w:rsidRPr="007A2CE7">
        <w:rPr>
          <w:rFonts w:ascii="Arial" w:eastAsia="Times New Roman" w:hAnsi="Arial" w:cs="Arial"/>
          <w:color w:val="1B1B1B"/>
          <w:kern w:val="0"/>
          <w:sz w:val="22"/>
          <w:szCs w:val="22"/>
          <w:shd w:val="clear" w:color="auto" w:fill="FFFFFF"/>
          <w14:ligatures w14:val="none"/>
        </w:rPr>
        <w:t xml:space="preserve">MSc, </w:t>
      </w:r>
      <w:r w:rsidRPr="007A2CE7">
        <w:rPr>
          <w:rFonts w:ascii="Arial" w:eastAsia="Times New Roman" w:hAnsi="Arial" w:cs="Arial"/>
          <w:color w:val="1B1B1B"/>
          <w:kern w:val="0"/>
          <w:sz w:val="22"/>
          <w:szCs w:val="22"/>
          <w:shd w:val="clear" w:color="auto" w:fill="FFFFFF"/>
          <w14:ligatures w14:val="none"/>
        </w:rPr>
        <w:t>MD</w:t>
      </w:r>
    </w:p>
    <w:p w14:paraId="0BF31EC1" w14:textId="31CD3BBF" w:rsidR="00191949" w:rsidRPr="007A2CE7" w:rsidRDefault="006B5C6A" w:rsidP="00382B56">
      <w:pPr>
        <w:spacing w:before="240" w:line="360" w:lineRule="auto"/>
        <w:ind w:firstLine="720"/>
        <w:jc w:val="both"/>
        <w:rPr>
          <w:rFonts w:ascii="Arial" w:eastAsia="Times New Roman" w:hAnsi="Arial" w:cs="Arial"/>
          <w:kern w:val="0"/>
          <w:sz w:val="22"/>
          <w:szCs w:val="22"/>
          <w14:ligatures w14:val="none"/>
        </w:rPr>
      </w:pPr>
      <w:r w:rsidRPr="007A2CE7">
        <w:rPr>
          <w:rFonts w:ascii="Arial" w:eastAsia="Times New Roman" w:hAnsi="Arial" w:cs="Arial"/>
          <w:color w:val="1B1B1B"/>
          <w:kern w:val="0"/>
          <w:sz w:val="22"/>
          <w:szCs w:val="22"/>
          <w:shd w:val="clear" w:color="auto" w:fill="FFFFFF"/>
          <w:vertAlign w:val="superscript"/>
          <w14:ligatures w14:val="none"/>
        </w:rPr>
        <w:t>1</w:t>
      </w:r>
      <w:r w:rsidR="00191949" w:rsidRPr="007A2CE7">
        <w:rPr>
          <w:rFonts w:ascii="Arial" w:eastAsia="Times New Roman" w:hAnsi="Arial" w:cs="Arial"/>
          <w:color w:val="1B1B1B"/>
          <w:kern w:val="0"/>
          <w:sz w:val="22"/>
          <w:szCs w:val="22"/>
          <w:shd w:val="clear" w:color="auto" w:fill="FFFFFF"/>
          <w14:ligatures w14:val="none"/>
        </w:rPr>
        <w:t>University of Calgary, Department of Orthopaedic Surgery, Calgary, Alberta</w:t>
      </w:r>
    </w:p>
    <w:p w14:paraId="5D808FB8" w14:textId="77777777" w:rsidR="00382B56" w:rsidRPr="007A2CE7" w:rsidRDefault="00382B56" w:rsidP="00382B56">
      <w:pPr>
        <w:spacing w:after="240" w:line="360" w:lineRule="auto"/>
        <w:rPr>
          <w:rFonts w:ascii="Arial" w:eastAsia="Times New Roman" w:hAnsi="Arial" w:cs="Arial"/>
          <w:kern w:val="0"/>
          <w:sz w:val="22"/>
          <w:szCs w:val="22"/>
          <w14:ligatures w14:val="none"/>
        </w:rPr>
      </w:pPr>
    </w:p>
    <w:p w14:paraId="575B389E" w14:textId="77777777" w:rsidR="00DF3E96" w:rsidRPr="007A2CE7" w:rsidRDefault="00DF3E96" w:rsidP="00382B56">
      <w:pPr>
        <w:spacing w:after="240" w:line="360" w:lineRule="auto"/>
        <w:rPr>
          <w:rFonts w:ascii="Arial" w:eastAsia="Times New Roman" w:hAnsi="Arial" w:cs="Arial"/>
          <w:kern w:val="0"/>
          <w:sz w:val="22"/>
          <w:szCs w:val="22"/>
          <w14:ligatures w14:val="none"/>
        </w:rPr>
      </w:pPr>
    </w:p>
    <w:p w14:paraId="0F3E70B6" w14:textId="77777777" w:rsidR="00DF3E96" w:rsidRPr="007A2CE7" w:rsidRDefault="00DF3E96" w:rsidP="00382B56">
      <w:pPr>
        <w:spacing w:after="240" w:line="360" w:lineRule="auto"/>
        <w:rPr>
          <w:rFonts w:ascii="Arial" w:eastAsia="Times New Roman" w:hAnsi="Arial" w:cs="Arial"/>
          <w:kern w:val="0"/>
          <w:sz w:val="22"/>
          <w:szCs w:val="22"/>
          <w14:ligatures w14:val="none"/>
        </w:rPr>
      </w:pPr>
    </w:p>
    <w:p w14:paraId="7978C91D" w14:textId="77777777" w:rsidR="00DF3E96" w:rsidRDefault="00DF3E96" w:rsidP="00382B56">
      <w:pPr>
        <w:spacing w:after="240" w:line="360" w:lineRule="auto"/>
        <w:rPr>
          <w:rFonts w:ascii="Arial" w:eastAsia="Times New Roman" w:hAnsi="Arial" w:cs="Arial"/>
          <w:kern w:val="0"/>
          <w:sz w:val="22"/>
          <w:szCs w:val="22"/>
          <w14:ligatures w14:val="none"/>
        </w:rPr>
      </w:pPr>
    </w:p>
    <w:p w14:paraId="2D1E6514" w14:textId="77777777" w:rsidR="00671960" w:rsidRPr="007A2CE7" w:rsidRDefault="00671960" w:rsidP="00382B56">
      <w:pPr>
        <w:spacing w:after="240" w:line="360" w:lineRule="auto"/>
        <w:rPr>
          <w:rFonts w:ascii="Arial" w:eastAsia="Times New Roman" w:hAnsi="Arial" w:cs="Arial"/>
          <w:kern w:val="0"/>
          <w:sz w:val="22"/>
          <w:szCs w:val="22"/>
          <w14:ligatures w14:val="none"/>
        </w:rPr>
      </w:pPr>
    </w:p>
    <w:p w14:paraId="58A6380C" w14:textId="77777777" w:rsidR="00191949" w:rsidRPr="007A2CE7" w:rsidRDefault="00191949" w:rsidP="00382B56">
      <w:pPr>
        <w:spacing w:before="240" w:line="360" w:lineRule="auto"/>
        <w:jc w:val="both"/>
        <w:rPr>
          <w:rFonts w:ascii="Arial" w:eastAsia="Times New Roman" w:hAnsi="Arial" w:cs="Arial"/>
          <w:kern w:val="0"/>
          <w:sz w:val="22"/>
          <w:szCs w:val="22"/>
          <w14:ligatures w14:val="none"/>
        </w:rPr>
      </w:pPr>
      <w:r w:rsidRPr="007A2CE7">
        <w:rPr>
          <w:rFonts w:ascii="Arial" w:eastAsia="Times New Roman" w:hAnsi="Arial" w:cs="Arial"/>
          <w:b/>
          <w:bCs/>
          <w:color w:val="1B1B1B"/>
          <w:kern w:val="0"/>
          <w:sz w:val="22"/>
          <w:szCs w:val="22"/>
          <w:shd w:val="clear" w:color="auto" w:fill="FFFFFF"/>
          <w14:ligatures w14:val="none"/>
        </w:rPr>
        <w:t>Corresponding Author:</w:t>
      </w:r>
    </w:p>
    <w:p w14:paraId="7BC0FF52" w14:textId="47313EBE" w:rsidR="00191949" w:rsidRPr="007A2CE7" w:rsidRDefault="004F09E5" w:rsidP="00382B56">
      <w:pPr>
        <w:spacing w:before="240" w:line="360" w:lineRule="auto"/>
        <w:jc w:val="both"/>
        <w:rPr>
          <w:rFonts w:ascii="Arial" w:eastAsia="Times New Roman" w:hAnsi="Arial" w:cs="Arial"/>
          <w:kern w:val="0"/>
          <w:sz w:val="22"/>
          <w:szCs w:val="22"/>
          <w14:ligatures w14:val="none"/>
        </w:rPr>
      </w:pPr>
      <w:r w:rsidRPr="007A2CE7">
        <w:rPr>
          <w:rFonts w:ascii="Arial" w:eastAsia="Times New Roman" w:hAnsi="Arial" w:cs="Arial"/>
          <w:color w:val="1B1B1B"/>
          <w:kern w:val="0"/>
          <w:sz w:val="22"/>
          <w:szCs w:val="22"/>
          <w:shd w:val="clear" w:color="auto" w:fill="FFFFFF"/>
          <w14:ligatures w14:val="none"/>
        </w:rPr>
        <w:t>Ben Wajda</w:t>
      </w:r>
    </w:p>
    <w:p w14:paraId="1934FE5B" w14:textId="77777777" w:rsidR="00191949" w:rsidRPr="007A2CE7" w:rsidRDefault="00191949" w:rsidP="00382B56">
      <w:pPr>
        <w:spacing w:before="240" w:line="360" w:lineRule="auto"/>
        <w:jc w:val="both"/>
        <w:rPr>
          <w:rFonts w:ascii="Arial" w:eastAsia="Times New Roman" w:hAnsi="Arial" w:cs="Arial"/>
          <w:kern w:val="0"/>
          <w:sz w:val="22"/>
          <w:szCs w:val="22"/>
          <w14:ligatures w14:val="none"/>
        </w:rPr>
      </w:pPr>
      <w:r w:rsidRPr="007A2CE7">
        <w:rPr>
          <w:rFonts w:ascii="Arial" w:eastAsia="Times New Roman" w:hAnsi="Arial" w:cs="Arial"/>
          <w:color w:val="1B1B1B"/>
          <w:kern w:val="0"/>
          <w:sz w:val="22"/>
          <w:szCs w:val="22"/>
          <w:shd w:val="clear" w:color="auto" w:fill="FFFFFF"/>
          <w14:ligatures w14:val="none"/>
        </w:rPr>
        <w:t>University of Calgary</w:t>
      </w:r>
    </w:p>
    <w:p w14:paraId="210E9D83" w14:textId="77777777" w:rsidR="00191949" w:rsidRPr="007A2CE7" w:rsidRDefault="00191949" w:rsidP="00382B56">
      <w:pPr>
        <w:spacing w:before="240" w:line="360" w:lineRule="auto"/>
        <w:jc w:val="both"/>
        <w:rPr>
          <w:rFonts w:ascii="Arial" w:eastAsia="Times New Roman" w:hAnsi="Arial" w:cs="Arial"/>
          <w:kern w:val="0"/>
          <w:sz w:val="22"/>
          <w:szCs w:val="22"/>
          <w14:ligatures w14:val="none"/>
        </w:rPr>
      </w:pPr>
      <w:r w:rsidRPr="007A2CE7">
        <w:rPr>
          <w:rFonts w:ascii="Arial" w:eastAsia="Times New Roman" w:hAnsi="Arial" w:cs="Arial"/>
          <w:color w:val="1B1B1B"/>
          <w:kern w:val="0"/>
          <w:sz w:val="22"/>
          <w:szCs w:val="22"/>
          <w:shd w:val="clear" w:color="auto" w:fill="FFFFFF"/>
          <w14:ligatures w14:val="none"/>
        </w:rPr>
        <w:t>3300 Hospital Dr. NW</w:t>
      </w:r>
    </w:p>
    <w:p w14:paraId="48BD63C3" w14:textId="77777777" w:rsidR="00191949" w:rsidRPr="007A2CE7" w:rsidRDefault="00191949" w:rsidP="00382B56">
      <w:pPr>
        <w:spacing w:before="240" w:line="360" w:lineRule="auto"/>
        <w:jc w:val="both"/>
        <w:rPr>
          <w:rFonts w:ascii="Arial" w:eastAsia="Times New Roman" w:hAnsi="Arial" w:cs="Arial"/>
          <w:kern w:val="0"/>
          <w:sz w:val="22"/>
          <w:szCs w:val="22"/>
          <w14:ligatures w14:val="none"/>
        </w:rPr>
      </w:pPr>
      <w:r w:rsidRPr="007A2CE7">
        <w:rPr>
          <w:rFonts w:ascii="Arial" w:eastAsia="Times New Roman" w:hAnsi="Arial" w:cs="Arial"/>
          <w:color w:val="1B1B1B"/>
          <w:kern w:val="0"/>
          <w:sz w:val="22"/>
          <w:szCs w:val="22"/>
          <w:shd w:val="clear" w:color="auto" w:fill="FFFFFF"/>
          <w14:ligatures w14:val="none"/>
        </w:rPr>
        <w:t>Calgary, AB.  T2N 4N1</w:t>
      </w:r>
    </w:p>
    <w:p w14:paraId="018C64EB" w14:textId="5DD0F516" w:rsidR="00191949" w:rsidRPr="007A2CE7" w:rsidRDefault="00191949" w:rsidP="00382B56">
      <w:pPr>
        <w:spacing w:before="240" w:line="360" w:lineRule="auto"/>
        <w:jc w:val="both"/>
        <w:rPr>
          <w:rFonts w:ascii="Arial" w:eastAsia="Times New Roman" w:hAnsi="Arial" w:cs="Arial"/>
          <w:kern w:val="0"/>
          <w:sz w:val="22"/>
          <w:szCs w:val="22"/>
          <w:shd w:val="clear" w:color="auto" w:fill="FFFFFF"/>
          <w14:ligatures w14:val="none"/>
        </w:rPr>
      </w:pPr>
      <w:r w:rsidRPr="007A2CE7">
        <w:rPr>
          <w:rFonts w:ascii="Arial" w:eastAsia="Times New Roman" w:hAnsi="Arial" w:cs="Arial"/>
          <w:color w:val="1B1B1B"/>
          <w:kern w:val="0"/>
          <w:sz w:val="22"/>
          <w:szCs w:val="22"/>
          <w:shd w:val="clear" w:color="auto" w:fill="FFFFFF"/>
          <w14:ligatures w14:val="none"/>
        </w:rPr>
        <w:t> </w:t>
      </w:r>
      <w:hyperlink r:id="rId7" w:history="1">
        <w:r w:rsidR="004F09E5" w:rsidRPr="007A2CE7">
          <w:rPr>
            <w:rStyle w:val="Hyperlink"/>
            <w:rFonts w:ascii="Arial" w:eastAsia="Times New Roman" w:hAnsi="Arial" w:cs="Arial"/>
            <w:kern w:val="0"/>
            <w:sz w:val="22"/>
            <w:szCs w:val="22"/>
            <w:shd w:val="clear" w:color="auto" w:fill="FFFFFF"/>
            <w14:ligatures w14:val="none"/>
          </w:rPr>
          <w:t>Benjamin.wajda@ucalgary.ca</w:t>
        </w:r>
      </w:hyperlink>
    </w:p>
    <w:p w14:paraId="6438092E" w14:textId="60340299" w:rsidR="004F09E5" w:rsidRPr="007A2CE7" w:rsidRDefault="004F09E5" w:rsidP="004F09E5">
      <w:pPr>
        <w:spacing w:before="240" w:line="360" w:lineRule="auto"/>
        <w:jc w:val="both"/>
        <w:rPr>
          <w:rFonts w:ascii="Arial" w:hAnsi="Arial" w:cs="Arial"/>
          <w:sz w:val="22"/>
          <w:szCs w:val="22"/>
        </w:rPr>
      </w:pPr>
      <w:r w:rsidRPr="007A2CE7">
        <w:rPr>
          <w:rFonts w:ascii="Arial" w:eastAsia="Times New Roman" w:hAnsi="Arial" w:cs="Arial"/>
          <w:kern w:val="0"/>
          <w:sz w:val="22"/>
          <w:szCs w:val="22"/>
          <w:shd w:val="clear" w:color="auto" w:fill="FFFFFF"/>
          <w14:ligatures w14:val="none"/>
        </w:rPr>
        <w:t>+1 (403) 465-1996</w:t>
      </w:r>
    </w:p>
    <w:p w14:paraId="1F19F02D" w14:textId="256CA99D" w:rsidR="00D03755" w:rsidRPr="007A2CE7" w:rsidRDefault="00D03755" w:rsidP="00382B56">
      <w:pPr>
        <w:spacing w:before="240" w:line="360" w:lineRule="auto"/>
        <w:jc w:val="both"/>
        <w:rPr>
          <w:rFonts w:ascii="Arial" w:eastAsia="Times New Roman" w:hAnsi="Arial" w:cs="Arial"/>
          <w:b/>
          <w:bCs/>
          <w:kern w:val="0"/>
          <w:sz w:val="22"/>
          <w:szCs w:val="22"/>
          <w14:ligatures w14:val="none"/>
        </w:rPr>
      </w:pPr>
      <w:r w:rsidRPr="007A2CE7">
        <w:rPr>
          <w:rFonts w:ascii="Arial" w:eastAsia="Times New Roman" w:hAnsi="Arial" w:cs="Arial"/>
          <w:b/>
          <w:bCs/>
          <w:kern w:val="0"/>
          <w:sz w:val="22"/>
          <w:szCs w:val="22"/>
          <w14:ligatures w14:val="none"/>
        </w:rPr>
        <w:t xml:space="preserve">Abstract Word Count: </w:t>
      </w:r>
      <w:r w:rsidR="00C31CAC" w:rsidRPr="007A2CE7">
        <w:rPr>
          <w:rFonts w:ascii="Arial" w:eastAsia="Times New Roman" w:hAnsi="Arial" w:cs="Arial"/>
          <w:kern w:val="0"/>
          <w:sz w:val="22"/>
          <w:szCs w:val="22"/>
          <w14:ligatures w14:val="none"/>
        </w:rPr>
        <w:t>2</w:t>
      </w:r>
      <w:r w:rsidR="00671960">
        <w:rPr>
          <w:rFonts w:ascii="Arial" w:eastAsia="Times New Roman" w:hAnsi="Arial" w:cs="Arial"/>
          <w:kern w:val="0"/>
          <w:sz w:val="22"/>
          <w:szCs w:val="22"/>
          <w14:ligatures w14:val="none"/>
        </w:rPr>
        <w:t>85</w:t>
      </w:r>
    </w:p>
    <w:p w14:paraId="50B7B96E" w14:textId="17EDF4F0" w:rsidR="007A2CE7" w:rsidRPr="007A2CE7" w:rsidRDefault="00D03755" w:rsidP="00671960">
      <w:pPr>
        <w:spacing w:before="240" w:line="360" w:lineRule="auto"/>
        <w:jc w:val="both"/>
        <w:rPr>
          <w:rFonts w:ascii="Arial" w:eastAsia="Times New Roman" w:hAnsi="Arial" w:cs="Arial"/>
          <w:kern w:val="0"/>
          <w:sz w:val="22"/>
          <w:szCs w:val="22"/>
          <w14:ligatures w14:val="none"/>
        </w:rPr>
      </w:pPr>
      <w:r w:rsidRPr="007A2CE7">
        <w:rPr>
          <w:rFonts w:ascii="Arial" w:eastAsia="Times New Roman" w:hAnsi="Arial" w:cs="Arial"/>
          <w:b/>
          <w:bCs/>
          <w:kern w:val="0"/>
          <w:sz w:val="22"/>
          <w:szCs w:val="22"/>
          <w14:ligatures w14:val="none"/>
        </w:rPr>
        <w:t xml:space="preserve">Manuscript Word Count: </w:t>
      </w:r>
      <w:r w:rsidR="001625C8" w:rsidRPr="00671960">
        <w:rPr>
          <w:rFonts w:ascii="Arial" w:eastAsia="Times New Roman" w:hAnsi="Arial" w:cs="Arial"/>
          <w:kern w:val="0"/>
          <w:sz w:val="22"/>
          <w:szCs w:val="22"/>
          <w14:ligatures w14:val="none"/>
        </w:rPr>
        <w:t>2,</w:t>
      </w:r>
      <w:r w:rsidR="00671960" w:rsidRPr="00671960">
        <w:rPr>
          <w:rFonts w:ascii="Arial" w:eastAsia="Times New Roman" w:hAnsi="Arial" w:cs="Arial"/>
          <w:kern w:val="0"/>
          <w:sz w:val="22"/>
          <w:szCs w:val="22"/>
          <w14:ligatures w14:val="none"/>
        </w:rPr>
        <w:t>9</w:t>
      </w:r>
      <w:r w:rsidR="00FA3FE9">
        <w:rPr>
          <w:rFonts w:ascii="Arial" w:eastAsia="Times New Roman" w:hAnsi="Arial" w:cs="Arial"/>
          <w:kern w:val="0"/>
          <w:sz w:val="22"/>
          <w:szCs w:val="22"/>
          <w14:ligatures w14:val="none"/>
        </w:rPr>
        <w:t>91</w:t>
      </w:r>
      <w:r w:rsidR="004F09E5" w:rsidRPr="00671960">
        <w:rPr>
          <w:rFonts w:ascii="Arial" w:eastAsia="Times New Roman" w:hAnsi="Arial" w:cs="Arial"/>
          <w:kern w:val="0"/>
          <w:sz w:val="22"/>
          <w:szCs w:val="22"/>
          <w14:ligatures w14:val="none"/>
        </w:rPr>
        <w:t xml:space="preserve"> (</w:t>
      </w:r>
      <w:r w:rsidR="00671960" w:rsidRPr="00671960">
        <w:rPr>
          <w:rFonts w:ascii="Arial" w:eastAsia="Times New Roman" w:hAnsi="Arial" w:cs="Arial"/>
          <w:kern w:val="0"/>
          <w:sz w:val="22"/>
          <w:szCs w:val="22"/>
          <w14:ligatures w14:val="none"/>
        </w:rPr>
        <w:t>45</w:t>
      </w:r>
      <w:r w:rsidR="00FA3FE9">
        <w:rPr>
          <w:rFonts w:ascii="Arial" w:eastAsia="Times New Roman" w:hAnsi="Arial" w:cs="Arial"/>
          <w:kern w:val="0"/>
          <w:sz w:val="22"/>
          <w:szCs w:val="22"/>
          <w14:ligatures w14:val="none"/>
        </w:rPr>
        <w:t>63</w:t>
      </w:r>
      <w:r w:rsidR="004F09E5" w:rsidRPr="00671960">
        <w:rPr>
          <w:rFonts w:ascii="Arial" w:eastAsia="Times New Roman" w:hAnsi="Arial" w:cs="Arial"/>
          <w:kern w:val="0"/>
          <w:sz w:val="22"/>
          <w:szCs w:val="22"/>
          <w14:ligatures w14:val="none"/>
        </w:rPr>
        <w:t xml:space="preserve"> with references)</w:t>
      </w:r>
    </w:p>
    <w:p w14:paraId="02B0F7FE" w14:textId="396613C3" w:rsidR="00AC3AE3" w:rsidRPr="007A2CE7" w:rsidRDefault="00A77B5C" w:rsidP="004F09E5">
      <w:pPr>
        <w:spacing w:before="240" w:line="360" w:lineRule="auto"/>
        <w:jc w:val="both"/>
        <w:rPr>
          <w:rFonts w:ascii="Arial" w:eastAsia="Times New Roman" w:hAnsi="Arial" w:cs="Arial"/>
          <w:b/>
          <w:bCs/>
          <w:kern w:val="0"/>
          <w:sz w:val="22"/>
          <w:szCs w:val="22"/>
          <w14:ligatures w14:val="none"/>
        </w:rPr>
      </w:pPr>
      <w:r w:rsidRPr="007A2CE7">
        <w:rPr>
          <w:rFonts w:ascii="Arial" w:eastAsia="Times New Roman" w:hAnsi="Arial" w:cs="Arial"/>
          <w:b/>
          <w:bCs/>
          <w:kern w:val="0"/>
          <w:sz w:val="22"/>
          <w:szCs w:val="22"/>
          <w14:ligatures w14:val="none"/>
        </w:rPr>
        <w:lastRenderedPageBreak/>
        <w:t>Abstract</w:t>
      </w:r>
    </w:p>
    <w:p w14:paraId="77B34820" w14:textId="77777777" w:rsidR="00671960" w:rsidRPr="00671960" w:rsidRDefault="00671960" w:rsidP="00671960">
      <w:pPr>
        <w:spacing w:after="240" w:line="360" w:lineRule="auto"/>
        <w:rPr>
          <w:rFonts w:ascii="Arial" w:eastAsia="Times New Roman" w:hAnsi="Arial" w:cs="Arial"/>
          <w:color w:val="000000" w:themeColor="text1"/>
          <w:kern w:val="0"/>
          <w:sz w:val="22"/>
          <w:szCs w:val="22"/>
          <w14:ligatures w14:val="none"/>
        </w:rPr>
      </w:pPr>
      <w:r w:rsidRPr="00671960">
        <w:rPr>
          <w:rFonts w:ascii="Arial" w:eastAsia="Times New Roman" w:hAnsi="Arial" w:cs="Arial"/>
          <w:b/>
          <w:bCs/>
          <w:color w:val="000000" w:themeColor="text1"/>
          <w:kern w:val="0"/>
          <w:sz w:val="22"/>
          <w:szCs w:val="22"/>
          <w14:ligatures w14:val="none"/>
        </w:rPr>
        <w:t>Title</w:t>
      </w:r>
      <w:r w:rsidRPr="00671960">
        <w:rPr>
          <w:rFonts w:ascii="Arial" w:eastAsia="Times New Roman" w:hAnsi="Arial" w:cs="Arial"/>
          <w:color w:val="000000" w:themeColor="text1"/>
          <w:kern w:val="0"/>
          <w:sz w:val="22"/>
          <w:szCs w:val="22"/>
          <w14:ligatures w14:val="none"/>
        </w:rPr>
        <w:t>: Clinical Outcomes by Route of Vancomycin Administration for Prosthetic Joint Infection Prophylaxis in Primary Total Knee Arthroplasty: A Systematic Review and Meta-Analysis.</w:t>
      </w:r>
    </w:p>
    <w:p w14:paraId="26182D86" w14:textId="77777777" w:rsidR="00671960" w:rsidRPr="00671960" w:rsidRDefault="00671960" w:rsidP="00671960">
      <w:pPr>
        <w:spacing w:after="240" w:line="360" w:lineRule="auto"/>
        <w:rPr>
          <w:rFonts w:ascii="Arial" w:eastAsia="Times New Roman" w:hAnsi="Arial" w:cs="Arial"/>
          <w:color w:val="000000" w:themeColor="text1"/>
          <w:kern w:val="0"/>
          <w:sz w:val="22"/>
          <w:szCs w:val="22"/>
          <w14:ligatures w14:val="none"/>
        </w:rPr>
      </w:pPr>
      <w:r w:rsidRPr="00671960">
        <w:rPr>
          <w:rFonts w:ascii="Arial" w:eastAsia="Times New Roman" w:hAnsi="Arial" w:cs="Arial"/>
          <w:b/>
          <w:bCs/>
          <w:color w:val="000000" w:themeColor="text1"/>
          <w:kern w:val="0"/>
          <w:sz w:val="22"/>
          <w:szCs w:val="22"/>
          <w14:ligatures w14:val="none"/>
        </w:rPr>
        <w:t>Background:</w:t>
      </w:r>
      <w:r w:rsidRPr="00671960">
        <w:rPr>
          <w:rFonts w:ascii="Arial" w:eastAsia="Times New Roman" w:hAnsi="Arial" w:cs="Arial"/>
          <w:color w:val="000000" w:themeColor="text1"/>
          <w:kern w:val="0"/>
          <w:sz w:val="22"/>
          <w:szCs w:val="22"/>
          <w14:ligatures w14:val="none"/>
        </w:rPr>
        <w:t xml:space="preserve"> Prosthetic joint infection (PJI) remains a serious complication after total knee arthroplasty (TKA), and the optimal route of perioperative vancomycin prophylaxis remains unclear. This study compared intravenous (IV), intraosseous (IO), and topical vancomycin administration and their associations with postoperative outcomes in primary TKA.</w:t>
      </w:r>
    </w:p>
    <w:p w14:paraId="2C18C817" w14:textId="77777777" w:rsidR="00671960" w:rsidRPr="00671960" w:rsidRDefault="00671960" w:rsidP="00671960">
      <w:pPr>
        <w:spacing w:after="240" w:line="360" w:lineRule="auto"/>
        <w:rPr>
          <w:rFonts w:ascii="Arial" w:eastAsia="Times New Roman" w:hAnsi="Arial" w:cs="Arial"/>
          <w:color w:val="000000" w:themeColor="text1"/>
          <w:kern w:val="0"/>
          <w:sz w:val="22"/>
          <w:szCs w:val="22"/>
          <w14:ligatures w14:val="none"/>
        </w:rPr>
      </w:pPr>
      <w:r w:rsidRPr="00671960">
        <w:rPr>
          <w:rFonts w:ascii="Arial" w:eastAsia="Times New Roman" w:hAnsi="Arial" w:cs="Arial"/>
          <w:b/>
          <w:bCs/>
          <w:color w:val="000000" w:themeColor="text1"/>
          <w:kern w:val="0"/>
          <w:sz w:val="22"/>
          <w:szCs w:val="22"/>
          <w14:ligatures w14:val="none"/>
        </w:rPr>
        <w:t>Methods</w:t>
      </w:r>
      <w:r w:rsidRPr="00671960">
        <w:rPr>
          <w:rFonts w:ascii="Arial" w:eastAsia="Times New Roman" w:hAnsi="Arial" w:cs="Arial"/>
          <w:color w:val="000000" w:themeColor="text1"/>
          <w:kern w:val="0"/>
          <w:sz w:val="22"/>
          <w:szCs w:val="22"/>
          <w14:ligatures w14:val="none"/>
        </w:rPr>
        <w:t>: A PRISMA-compliant systematic review and meta-analysis (PROSPERO CRD420261471147) searched PubMed, MEDLINE, and EMBASE through April 30, 2026, for studies evaluating intraoperative vancomycin prophylaxis in adults undergoing primary TKA. Data on PJI, surgical site infection (SSI), reoperation, acute kidney injury (AKI), venous thromboembolism (VTE), and serum vancomycin concentrations were extracted. Random-effects meta-analyses of proportions pooled event rates with 95% CIs, with IO, IV, and topical routes analyzed as subgroups.</w:t>
      </w:r>
    </w:p>
    <w:p w14:paraId="798E0B92" w14:textId="6FC609D4" w:rsidR="00671960" w:rsidRPr="00671960" w:rsidRDefault="00671960" w:rsidP="00671960">
      <w:pPr>
        <w:spacing w:after="240" w:line="360" w:lineRule="auto"/>
        <w:rPr>
          <w:rFonts w:ascii="Arial" w:eastAsia="Times New Roman" w:hAnsi="Arial" w:cs="Arial"/>
          <w:color w:val="000000" w:themeColor="text1"/>
          <w:kern w:val="0"/>
          <w:sz w:val="22"/>
          <w:szCs w:val="22"/>
          <w14:ligatures w14:val="none"/>
        </w:rPr>
      </w:pPr>
      <w:r w:rsidRPr="00671960">
        <w:rPr>
          <w:rFonts w:ascii="Arial" w:eastAsia="Times New Roman" w:hAnsi="Arial" w:cs="Arial"/>
          <w:b/>
          <w:bCs/>
          <w:color w:val="000000" w:themeColor="text1"/>
          <w:kern w:val="0"/>
          <w:sz w:val="22"/>
          <w:szCs w:val="22"/>
          <w14:ligatures w14:val="none"/>
        </w:rPr>
        <w:t>Results:</w:t>
      </w:r>
      <w:r w:rsidRPr="00671960">
        <w:rPr>
          <w:rFonts w:ascii="Arial" w:eastAsia="Times New Roman" w:hAnsi="Arial" w:cs="Arial"/>
          <w:color w:val="000000" w:themeColor="text1"/>
          <w:kern w:val="0"/>
          <w:sz w:val="22"/>
          <w:szCs w:val="22"/>
          <w14:ligatures w14:val="none"/>
        </w:rPr>
        <w:t xml:space="preserve"> Eighteen studies comprising 15,591 patients (IO group, n = 3,509; IV group, n = 4,156; topical group, n = 4,145; no vancomycin, n = 3,781) were included. </w:t>
      </w:r>
      <w:r w:rsidR="007B2CBC" w:rsidRPr="007B2CBC">
        <w:rPr>
          <w:rFonts w:ascii="Arial" w:eastAsia="Times New Roman" w:hAnsi="Arial" w:cs="Arial"/>
          <w:color w:val="000000" w:themeColor="text1"/>
          <w:kern w:val="0"/>
          <w:sz w:val="22"/>
          <w:szCs w:val="22"/>
          <w14:ligatures w14:val="none"/>
        </w:rPr>
        <w:t>Pooled 90-day PJI incidence was lowest with IO (</w:t>
      </w:r>
      <w:commentRangeStart w:id="0"/>
      <w:r w:rsidR="007B2CBC" w:rsidRPr="007B2CBC">
        <w:rPr>
          <w:rFonts w:ascii="Arial" w:eastAsia="Times New Roman" w:hAnsi="Arial" w:cs="Arial"/>
          <w:color w:val="000000" w:themeColor="text1"/>
          <w:kern w:val="0"/>
          <w:sz w:val="22"/>
          <w:szCs w:val="22"/>
          <w14:ligatures w14:val="none"/>
        </w:rPr>
        <w:t xml:space="preserve">0.50%; </w:t>
      </w:r>
      <w:commentRangeEnd w:id="0"/>
      <w:r w:rsidR="005866A4">
        <w:rPr>
          <w:rStyle w:val="CommentReference"/>
        </w:rPr>
        <w:commentReference w:id="0"/>
      </w:r>
      <w:r w:rsidR="007B2CBC" w:rsidRPr="007B2CBC">
        <w:rPr>
          <w:rFonts w:ascii="Arial" w:eastAsia="Times New Roman" w:hAnsi="Arial" w:cs="Arial"/>
          <w:color w:val="000000" w:themeColor="text1"/>
          <w:kern w:val="0"/>
          <w:sz w:val="22"/>
          <w:szCs w:val="22"/>
          <w14:ligatures w14:val="none"/>
        </w:rPr>
        <w:t>95% CI, 0.27–0.93%) and highest in the control (no vancomycin) group (</w:t>
      </w:r>
      <w:commentRangeStart w:id="1"/>
      <w:r w:rsidR="007B2CBC" w:rsidRPr="007B2CBC">
        <w:rPr>
          <w:rFonts w:ascii="Arial" w:eastAsia="Times New Roman" w:hAnsi="Arial" w:cs="Arial"/>
          <w:color w:val="000000" w:themeColor="text1"/>
          <w:kern w:val="0"/>
          <w:sz w:val="22"/>
          <w:szCs w:val="22"/>
          <w14:ligatures w14:val="none"/>
        </w:rPr>
        <w:t>1.82</w:t>
      </w:r>
      <w:commentRangeEnd w:id="1"/>
      <w:r w:rsidR="005866A4">
        <w:rPr>
          <w:rStyle w:val="CommentReference"/>
        </w:rPr>
        <w:commentReference w:id="1"/>
      </w:r>
      <w:r w:rsidR="007B2CBC" w:rsidRPr="007B2CBC">
        <w:rPr>
          <w:rFonts w:ascii="Arial" w:eastAsia="Times New Roman" w:hAnsi="Arial" w:cs="Arial"/>
          <w:color w:val="000000" w:themeColor="text1"/>
          <w:kern w:val="0"/>
          <w:sz w:val="22"/>
          <w:szCs w:val="22"/>
          <w14:ligatures w14:val="none"/>
        </w:rPr>
        <w:t xml:space="preserve">%; 95% CI, 0.94–3.50%); among </w:t>
      </w:r>
      <w:r w:rsidR="007B2CBC">
        <w:rPr>
          <w:rFonts w:ascii="Arial" w:eastAsia="Times New Roman" w:hAnsi="Arial" w:cs="Arial"/>
          <w:color w:val="000000" w:themeColor="text1"/>
          <w:kern w:val="0"/>
          <w:sz w:val="22"/>
          <w:szCs w:val="22"/>
          <w14:ligatures w14:val="none"/>
        </w:rPr>
        <w:t>perioperative</w:t>
      </w:r>
      <w:r w:rsidR="007B2CBC" w:rsidRPr="007B2CBC">
        <w:rPr>
          <w:rFonts w:ascii="Arial" w:eastAsia="Times New Roman" w:hAnsi="Arial" w:cs="Arial"/>
          <w:color w:val="000000" w:themeColor="text1"/>
          <w:kern w:val="0"/>
          <w:sz w:val="22"/>
          <w:szCs w:val="22"/>
          <w14:ligatures w14:val="none"/>
        </w:rPr>
        <w:t xml:space="preserve"> vancomycin routes, IV carried the highest incidence (1.55%; 95% CI, 0.98–2.42%) (P=0.0094).</w:t>
      </w:r>
      <w:r w:rsidR="007B2CBC">
        <w:rPr>
          <w:rFonts w:ascii="Arial" w:eastAsia="Times New Roman" w:hAnsi="Arial" w:cs="Arial"/>
          <w:color w:val="000000" w:themeColor="text1"/>
          <w:kern w:val="0"/>
          <w:sz w:val="22"/>
          <w:szCs w:val="22"/>
          <w14:ligatures w14:val="none"/>
        </w:rPr>
        <w:t xml:space="preserve"> </w:t>
      </w:r>
      <w:r w:rsidRPr="00671960">
        <w:rPr>
          <w:rFonts w:ascii="Arial" w:eastAsia="Times New Roman" w:hAnsi="Arial" w:cs="Arial"/>
          <w:color w:val="000000" w:themeColor="text1"/>
          <w:kern w:val="0"/>
          <w:sz w:val="22"/>
          <w:szCs w:val="22"/>
          <w14:ligatures w14:val="none"/>
        </w:rPr>
        <w:t>SSI and reoperation did not differ by route. AKI was highest with IV (1.52%; 95% CI, 1.12–2.05%) and lowest with topical administration (0.35%; 95% CI, 0.10–1.21%; P=0.038). VTE did not differ by route. Serum vancomycin concentrations were highest with IV, intermediate with IO, and lowest with topical administration.</w:t>
      </w:r>
    </w:p>
    <w:p w14:paraId="68DD320F" w14:textId="29740930" w:rsidR="007A2CE7" w:rsidRPr="00671960" w:rsidRDefault="00671960" w:rsidP="00671960">
      <w:pPr>
        <w:spacing w:after="240" w:line="360" w:lineRule="auto"/>
        <w:rPr>
          <w:rFonts w:ascii="Arial" w:eastAsia="Times New Roman" w:hAnsi="Arial" w:cs="Arial"/>
          <w:color w:val="000000" w:themeColor="text1"/>
          <w:kern w:val="0"/>
          <w:sz w:val="22"/>
          <w:szCs w:val="22"/>
          <w14:ligatures w14:val="none"/>
        </w:rPr>
      </w:pPr>
      <w:r w:rsidRPr="00671960">
        <w:rPr>
          <w:rFonts w:ascii="Arial" w:eastAsia="Times New Roman" w:hAnsi="Arial" w:cs="Arial"/>
          <w:b/>
          <w:bCs/>
          <w:color w:val="000000" w:themeColor="text1"/>
          <w:kern w:val="0"/>
          <w:sz w:val="22"/>
          <w:szCs w:val="22"/>
          <w14:ligatures w14:val="none"/>
        </w:rPr>
        <w:t>Conclusion:</w:t>
      </w:r>
      <w:r w:rsidRPr="00671960">
        <w:rPr>
          <w:rFonts w:ascii="Arial" w:eastAsia="Times New Roman" w:hAnsi="Arial" w:cs="Arial"/>
          <w:color w:val="000000" w:themeColor="text1"/>
          <w:kern w:val="0"/>
          <w:sz w:val="22"/>
          <w:szCs w:val="22"/>
          <w14:ligatures w14:val="none"/>
        </w:rPr>
        <w:t xml:space="preserve"> Intraosseous vancomycin was associated with the lowest PJI and AKI rates among routes evaluated, while IV vancomycin carried the greatest infection and renal risk. These findings support intraosseous vancomycin as a favorable prophylactic strategy in primary TKA, warranting confirmation in prospective randomized trials.</w:t>
      </w:r>
    </w:p>
    <w:p w14:paraId="728F96F5" w14:textId="77777777" w:rsidR="004F6081" w:rsidRDefault="004F6081" w:rsidP="004F09E5">
      <w:pPr>
        <w:spacing w:after="240" w:line="360" w:lineRule="auto"/>
        <w:rPr>
          <w:rFonts w:ascii="Arial" w:eastAsia="Times New Roman" w:hAnsi="Arial" w:cs="Arial"/>
          <w:b/>
          <w:bCs/>
          <w:color w:val="000000" w:themeColor="text1"/>
          <w:kern w:val="0"/>
          <w:sz w:val="22"/>
          <w:szCs w:val="22"/>
          <w14:ligatures w14:val="none"/>
        </w:rPr>
      </w:pPr>
    </w:p>
    <w:p w14:paraId="2D56DBB3" w14:textId="77777777" w:rsidR="00FA3FE9" w:rsidRDefault="00FA3FE9" w:rsidP="004F09E5">
      <w:pPr>
        <w:spacing w:before="240" w:after="0" w:line="360" w:lineRule="auto"/>
        <w:jc w:val="both"/>
        <w:rPr>
          <w:rFonts w:ascii="Arial" w:eastAsia="Times New Roman" w:hAnsi="Arial" w:cs="Arial"/>
          <w:i/>
          <w:iCs/>
          <w:color w:val="000000" w:themeColor="text1"/>
          <w:kern w:val="0"/>
          <w:sz w:val="22"/>
          <w:szCs w:val="22"/>
          <w14:ligatures w14:val="none"/>
        </w:rPr>
      </w:pPr>
    </w:p>
    <w:p w14:paraId="1B5BA6A1" w14:textId="4E3A4ADD" w:rsidR="006E0588" w:rsidRPr="007A2CE7" w:rsidRDefault="006E0588" w:rsidP="004F09E5">
      <w:pPr>
        <w:spacing w:before="240" w:after="0" w:line="360" w:lineRule="auto"/>
        <w:jc w:val="both"/>
        <w:rPr>
          <w:rFonts w:ascii="Arial" w:eastAsia="Times New Roman" w:hAnsi="Arial" w:cs="Arial"/>
          <w:kern w:val="0"/>
          <w:sz w:val="22"/>
          <w:szCs w:val="22"/>
          <w14:ligatures w14:val="none"/>
        </w:rPr>
      </w:pPr>
      <w:r w:rsidRPr="007A2CE7">
        <w:rPr>
          <w:rFonts w:ascii="Arial" w:eastAsia="Times New Roman" w:hAnsi="Arial" w:cs="Arial"/>
          <w:b/>
          <w:bCs/>
          <w:color w:val="1B1B1B"/>
          <w:kern w:val="0"/>
          <w:sz w:val="22"/>
          <w:szCs w:val="22"/>
          <w:shd w:val="clear" w:color="auto" w:fill="FFFFFF"/>
          <w14:ligatures w14:val="none"/>
        </w:rPr>
        <w:lastRenderedPageBreak/>
        <w:t>Introduction </w:t>
      </w:r>
      <w:r w:rsidR="004F09E5" w:rsidRPr="007A2CE7">
        <w:rPr>
          <w:rFonts w:ascii="Arial" w:eastAsia="Times New Roman" w:hAnsi="Arial" w:cs="Arial"/>
          <w:b/>
          <w:bCs/>
          <w:color w:val="1B1B1B"/>
          <w:kern w:val="0"/>
          <w:sz w:val="22"/>
          <w:szCs w:val="22"/>
          <w:shd w:val="clear" w:color="auto" w:fill="FFFFFF"/>
          <w14:ligatures w14:val="none"/>
        </w:rPr>
        <w:t>and background</w:t>
      </w:r>
    </w:p>
    <w:p w14:paraId="62FC34F4" w14:textId="4E3CE116" w:rsidR="00556913" w:rsidRPr="00556913" w:rsidRDefault="00556913" w:rsidP="00556913">
      <w:pPr>
        <w:spacing w:before="240" w:after="240" w:line="360" w:lineRule="auto"/>
        <w:ind w:firstLine="720"/>
        <w:rPr>
          <w:rFonts w:ascii="Arial" w:eastAsia="Times New Roman" w:hAnsi="Arial" w:cs="Arial"/>
          <w:color w:val="000000" w:themeColor="text1"/>
          <w:kern w:val="0"/>
          <w:sz w:val="22"/>
          <w:szCs w:val="22"/>
          <w14:ligatures w14:val="none"/>
        </w:rPr>
      </w:pPr>
      <w:r w:rsidRPr="00556913">
        <w:rPr>
          <w:rFonts w:ascii="Arial" w:eastAsia="Times New Roman" w:hAnsi="Arial" w:cs="Arial"/>
          <w:color w:val="000000" w:themeColor="text1"/>
          <w:kern w:val="0"/>
          <w:sz w:val="22"/>
          <w:szCs w:val="22"/>
          <w14:ligatures w14:val="none"/>
        </w:rPr>
        <w:t>Total knee arthroplasty (TKA) is among the most performed elective orthopaedic procedures, with annual volumes projected to rise substantially. Despite advances in surgical technique and perioperative care, prosthetic joint infection (PJI) remains one of the most serious complications following TKA, often requiring complex revision surgery and causing substantial morbidity and mortality [1–3]. Economic consequences are similarly substantial: inpatient costs exceed $28,000 per infection in the United States, with projected annual national hospital costs surpassing $1.85 billion [4]. PJI risk is greatest during the early postoperative period, underscoring the importance of effective perioperative antimicrobial prophylaxis [5].</w:t>
      </w:r>
    </w:p>
    <w:p w14:paraId="0C95C40D" w14:textId="77777777" w:rsidR="00556913" w:rsidRPr="00556913" w:rsidRDefault="00556913" w:rsidP="00556913">
      <w:pPr>
        <w:spacing w:before="240" w:after="240" w:line="360" w:lineRule="auto"/>
        <w:ind w:firstLine="720"/>
        <w:rPr>
          <w:rFonts w:ascii="Arial" w:eastAsia="Times New Roman" w:hAnsi="Arial" w:cs="Arial"/>
          <w:color w:val="000000" w:themeColor="text1"/>
          <w:kern w:val="0"/>
          <w:sz w:val="22"/>
          <w:szCs w:val="22"/>
          <w14:ligatures w14:val="none"/>
        </w:rPr>
      </w:pPr>
      <w:r w:rsidRPr="00556913">
        <w:rPr>
          <w:rFonts w:ascii="Arial" w:eastAsia="Times New Roman" w:hAnsi="Arial" w:cs="Arial"/>
          <w:color w:val="000000" w:themeColor="text1"/>
          <w:kern w:val="0"/>
          <w:sz w:val="22"/>
          <w:szCs w:val="22"/>
          <w14:ligatures w14:val="none"/>
        </w:rPr>
        <w:t>Cefazolin remains the standard prophylactic agent for primary TKA, while vancomycin is generally reserved for patients with β-lactam allergy or increased MRSA risk [6,7]. However, prior trials and reviews have not demonstrated a clear benefit of routine intravenous (IV) vancomycin, prompting interest in alternative routes that may improve local antibiotic concentrations while limiting systemic exposure [4,8]. Intraosseous (IO) vancomycin achieves higher periarticular tissue concentrations than IV administration, with observational studies and meta-analyses suggesting a potential PJI reduction without increased systemic complications [9–12]. Conversely, topical intrawound vancomycin powder has not consistently reduced PJI, including in a recent randomized trial [13,14]. Despite this growing evidence, no consensus exists regarding the optimal vancomycin route for infection prophylaxis in primary TKA.</w:t>
      </w:r>
    </w:p>
    <w:p w14:paraId="6C246282" w14:textId="3E5EFFEF" w:rsidR="00556913" w:rsidRDefault="00556913" w:rsidP="00556913">
      <w:pPr>
        <w:spacing w:before="240" w:after="240" w:line="360" w:lineRule="auto"/>
        <w:ind w:firstLine="720"/>
        <w:jc w:val="both"/>
        <w:rPr>
          <w:rFonts w:ascii="Arial" w:eastAsia="Times New Roman" w:hAnsi="Arial" w:cs="Arial"/>
          <w:color w:val="000000" w:themeColor="text1"/>
          <w:kern w:val="0"/>
          <w:sz w:val="22"/>
          <w:szCs w:val="22"/>
          <w14:ligatures w14:val="none"/>
        </w:rPr>
      </w:pPr>
      <w:r w:rsidRPr="00556913">
        <w:rPr>
          <w:rFonts w:ascii="Arial" w:eastAsia="Times New Roman" w:hAnsi="Arial" w:cs="Arial"/>
          <w:color w:val="000000" w:themeColor="text1"/>
          <w:kern w:val="0"/>
          <w:sz w:val="22"/>
          <w:szCs w:val="22"/>
          <w14:ligatures w14:val="none"/>
        </w:rPr>
        <w:t>Although IO and topical administration have both been investigated as alternatives to IV vancomycin, uncertainty remains regarding their relative effectiveness and safety. Prior reviews have generally evaluated individual strategies or included heterogeneous populations and procedures [10,11]. To our knowledge, no prior meta-analysis has directly compared systemic, intraosseous, and topical vancomycin administration in primary TKA. This review therefore aimed to compare these three routes and their associations with postoperative PJI, surgical-site infection</w:t>
      </w:r>
      <w:r>
        <w:rPr>
          <w:rFonts w:ascii="Arial" w:eastAsia="Times New Roman" w:hAnsi="Arial" w:cs="Arial"/>
          <w:color w:val="000000" w:themeColor="text1"/>
          <w:kern w:val="0"/>
          <w:sz w:val="22"/>
          <w:szCs w:val="22"/>
          <w14:ligatures w14:val="none"/>
        </w:rPr>
        <w:t xml:space="preserve"> (SSI)</w:t>
      </w:r>
      <w:r w:rsidRPr="00556913">
        <w:rPr>
          <w:rFonts w:ascii="Arial" w:eastAsia="Times New Roman" w:hAnsi="Arial" w:cs="Arial"/>
          <w:color w:val="000000" w:themeColor="text1"/>
          <w:kern w:val="0"/>
          <w:sz w:val="22"/>
          <w:szCs w:val="22"/>
          <w14:ligatures w14:val="none"/>
        </w:rPr>
        <w:t>, venous thromboembolism</w:t>
      </w:r>
      <w:r>
        <w:rPr>
          <w:rFonts w:ascii="Arial" w:eastAsia="Times New Roman" w:hAnsi="Arial" w:cs="Arial"/>
          <w:color w:val="000000" w:themeColor="text1"/>
          <w:kern w:val="0"/>
          <w:sz w:val="22"/>
          <w:szCs w:val="22"/>
          <w14:ligatures w14:val="none"/>
        </w:rPr>
        <w:t xml:space="preserve"> (VTE)</w:t>
      </w:r>
      <w:r w:rsidRPr="00556913">
        <w:rPr>
          <w:rFonts w:ascii="Arial" w:eastAsia="Times New Roman" w:hAnsi="Arial" w:cs="Arial"/>
          <w:color w:val="000000" w:themeColor="text1"/>
          <w:kern w:val="0"/>
          <w:sz w:val="22"/>
          <w:szCs w:val="22"/>
          <w14:ligatures w14:val="none"/>
        </w:rPr>
        <w:t xml:space="preserve">, </w:t>
      </w:r>
      <w:r>
        <w:rPr>
          <w:rFonts w:ascii="Arial" w:eastAsia="Times New Roman" w:hAnsi="Arial" w:cs="Arial"/>
          <w:color w:val="000000" w:themeColor="text1"/>
          <w:kern w:val="0"/>
          <w:sz w:val="22"/>
          <w:szCs w:val="22"/>
          <w14:ligatures w14:val="none"/>
        </w:rPr>
        <w:t>reoperation</w:t>
      </w:r>
      <w:r w:rsidRPr="00556913">
        <w:rPr>
          <w:rFonts w:ascii="Arial" w:eastAsia="Times New Roman" w:hAnsi="Arial" w:cs="Arial"/>
          <w:color w:val="000000" w:themeColor="text1"/>
          <w:kern w:val="0"/>
          <w:sz w:val="22"/>
          <w:szCs w:val="22"/>
          <w14:ligatures w14:val="none"/>
        </w:rPr>
        <w:t>, acute kidney injury</w:t>
      </w:r>
      <w:r>
        <w:rPr>
          <w:rFonts w:ascii="Arial" w:eastAsia="Times New Roman" w:hAnsi="Arial" w:cs="Arial"/>
          <w:color w:val="000000" w:themeColor="text1"/>
          <w:kern w:val="0"/>
          <w:sz w:val="22"/>
          <w:szCs w:val="22"/>
          <w14:ligatures w14:val="none"/>
        </w:rPr>
        <w:t xml:space="preserve"> (AKI)</w:t>
      </w:r>
      <w:r w:rsidRPr="00556913">
        <w:rPr>
          <w:rFonts w:ascii="Arial" w:eastAsia="Times New Roman" w:hAnsi="Arial" w:cs="Arial"/>
          <w:color w:val="000000" w:themeColor="text1"/>
          <w:kern w:val="0"/>
          <w:sz w:val="22"/>
          <w:szCs w:val="22"/>
          <w14:ligatures w14:val="none"/>
        </w:rPr>
        <w:t xml:space="preserve">, </w:t>
      </w:r>
      <w:r>
        <w:rPr>
          <w:rFonts w:ascii="Arial" w:eastAsia="Times New Roman" w:hAnsi="Arial" w:cs="Arial"/>
          <w:color w:val="000000" w:themeColor="text1"/>
          <w:kern w:val="0"/>
          <w:sz w:val="22"/>
          <w:szCs w:val="22"/>
          <w14:ligatures w14:val="none"/>
        </w:rPr>
        <w:t xml:space="preserve"> </w:t>
      </w:r>
      <w:r w:rsidRPr="00556913">
        <w:rPr>
          <w:rFonts w:ascii="Arial" w:eastAsia="Times New Roman" w:hAnsi="Arial" w:cs="Arial"/>
          <w:color w:val="000000" w:themeColor="text1"/>
          <w:kern w:val="0"/>
          <w:sz w:val="22"/>
          <w:szCs w:val="22"/>
          <w14:ligatures w14:val="none"/>
        </w:rPr>
        <w:t xml:space="preserve">serum </w:t>
      </w:r>
      <w:r>
        <w:rPr>
          <w:rFonts w:ascii="Arial" w:eastAsia="Times New Roman" w:hAnsi="Arial" w:cs="Arial"/>
          <w:color w:val="000000" w:themeColor="text1"/>
          <w:kern w:val="0"/>
          <w:sz w:val="22"/>
          <w:szCs w:val="22"/>
          <w14:ligatures w14:val="none"/>
        </w:rPr>
        <w:t xml:space="preserve">and subcutaneous </w:t>
      </w:r>
      <w:r w:rsidRPr="00556913">
        <w:rPr>
          <w:rFonts w:ascii="Arial" w:eastAsia="Times New Roman" w:hAnsi="Arial" w:cs="Arial"/>
          <w:color w:val="000000" w:themeColor="text1"/>
          <w:kern w:val="0"/>
          <w:sz w:val="22"/>
          <w:szCs w:val="22"/>
          <w14:ligatures w14:val="none"/>
        </w:rPr>
        <w:t>vancomycin concentrations.</w:t>
      </w:r>
    </w:p>
    <w:p w14:paraId="42B0D05A" w14:textId="77777777" w:rsidR="00556913" w:rsidRDefault="00556913" w:rsidP="00556913">
      <w:pPr>
        <w:spacing w:before="240" w:after="240" w:line="360" w:lineRule="auto"/>
        <w:jc w:val="both"/>
        <w:rPr>
          <w:rFonts w:ascii="Arial" w:eastAsia="Times New Roman" w:hAnsi="Arial" w:cs="Arial"/>
          <w:b/>
          <w:bCs/>
          <w:color w:val="1B1B1B"/>
          <w:kern w:val="0"/>
          <w:sz w:val="22"/>
          <w:szCs w:val="22"/>
          <w:shd w:val="clear" w:color="auto" w:fill="FFFFFF"/>
          <w14:ligatures w14:val="none"/>
        </w:rPr>
      </w:pPr>
    </w:p>
    <w:p w14:paraId="7FC00819" w14:textId="77777777" w:rsidR="00556913" w:rsidRDefault="00556913" w:rsidP="00556913">
      <w:pPr>
        <w:spacing w:before="240" w:after="240" w:line="360" w:lineRule="auto"/>
        <w:jc w:val="both"/>
        <w:rPr>
          <w:rFonts w:ascii="Arial" w:eastAsia="Times New Roman" w:hAnsi="Arial" w:cs="Arial"/>
          <w:b/>
          <w:bCs/>
          <w:color w:val="1B1B1B"/>
          <w:kern w:val="0"/>
          <w:sz w:val="22"/>
          <w:szCs w:val="22"/>
          <w:shd w:val="clear" w:color="auto" w:fill="FFFFFF"/>
          <w14:ligatures w14:val="none"/>
        </w:rPr>
      </w:pPr>
    </w:p>
    <w:p w14:paraId="33CC3005" w14:textId="77777777" w:rsidR="00556913" w:rsidRDefault="00556913" w:rsidP="00556913">
      <w:pPr>
        <w:spacing w:before="240" w:after="240" w:line="360" w:lineRule="auto"/>
        <w:jc w:val="both"/>
        <w:rPr>
          <w:rFonts w:ascii="Arial" w:eastAsia="Times New Roman" w:hAnsi="Arial" w:cs="Arial"/>
          <w:b/>
          <w:bCs/>
          <w:color w:val="1B1B1B"/>
          <w:kern w:val="0"/>
          <w:sz w:val="22"/>
          <w:szCs w:val="22"/>
          <w:shd w:val="clear" w:color="auto" w:fill="FFFFFF"/>
          <w14:ligatures w14:val="none"/>
        </w:rPr>
      </w:pPr>
    </w:p>
    <w:p w14:paraId="28D3197C" w14:textId="59307A2F" w:rsidR="006E0588" w:rsidRPr="007A2CE7" w:rsidRDefault="006E0588" w:rsidP="00556913">
      <w:pPr>
        <w:spacing w:before="240" w:after="240" w:line="360" w:lineRule="auto"/>
        <w:jc w:val="both"/>
        <w:rPr>
          <w:rFonts w:ascii="Arial" w:eastAsia="Times New Roman" w:hAnsi="Arial" w:cs="Arial"/>
          <w:kern w:val="0"/>
          <w:sz w:val="22"/>
          <w:szCs w:val="22"/>
          <w14:ligatures w14:val="none"/>
        </w:rPr>
      </w:pPr>
      <w:r w:rsidRPr="007A2CE7">
        <w:rPr>
          <w:rFonts w:ascii="Arial" w:eastAsia="Times New Roman" w:hAnsi="Arial" w:cs="Arial"/>
          <w:b/>
          <w:bCs/>
          <w:color w:val="1B1B1B"/>
          <w:kern w:val="0"/>
          <w:sz w:val="22"/>
          <w:szCs w:val="22"/>
          <w:shd w:val="clear" w:color="auto" w:fill="FFFFFF"/>
          <w14:ligatures w14:val="none"/>
        </w:rPr>
        <w:lastRenderedPageBreak/>
        <w:t>M</w:t>
      </w:r>
      <w:r w:rsidR="004F09E5" w:rsidRPr="007A2CE7">
        <w:rPr>
          <w:rFonts w:ascii="Arial" w:eastAsia="Times New Roman" w:hAnsi="Arial" w:cs="Arial"/>
          <w:b/>
          <w:bCs/>
          <w:color w:val="1B1B1B"/>
          <w:kern w:val="0"/>
          <w:sz w:val="22"/>
          <w:szCs w:val="22"/>
          <w:shd w:val="clear" w:color="auto" w:fill="FFFFFF"/>
          <w14:ligatures w14:val="none"/>
        </w:rPr>
        <w:t>aterial and methods</w:t>
      </w:r>
    </w:p>
    <w:p w14:paraId="45856324" w14:textId="3EAA9EB2" w:rsidR="006E0588" w:rsidRPr="007A2CE7" w:rsidRDefault="006E0588" w:rsidP="004F09E5">
      <w:pPr>
        <w:spacing w:before="240" w:after="240" w:line="360" w:lineRule="auto"/>
        <w:jc w:val="both"/>
        <w:rPr>
          <w:rFonts w:ascii="Arial" w:eastAsia="Times New Roman" w:hAnsi="Arial" w:cs="Arial"/>
          <w:kern w:val="0"/>
          <w:sz w:val="22"/>
          <w:szCs w:val="22"/>
          <w14:ligatures w14:val="none"/>
        </w:rPr>
      </w:pPr>
      <w:r w:rsidRPr="007A2CE7">
        <w:rPr>
          <w:rFonts w:ascii="Arial" w:eastAsia="Times New Roman" w:hAnsi="Arial" w:cs="Arial"/>
          <w:i/>
          <w:iCs/>
          <w:color w:val="1B1B1B"/>
          <w:kern w:val="0"/>
          <w:sz w:val="22"/>
          <w:szCs w:val="22"/>
          <w:shd w:val="clear" w:color="auto" w:fill="FFFFFF"/>
          <w14:ligatures w14:val="none"/>
        </w:rPr>
        <w:t>Literature Search</w:t>
      </w:r>
    </w:p>
    <w:p w14:paraId="293945A7" w14:textId="65957CA6" w:rsidR="006E0588" w:rsidRPr="007A2CE7" w:rsidRDefault="006E0588" w:rsidP="004F09E5">
      <w:pPr>
        <w:spacing w:before="240" w:line="360" w:lineRule="auto"/>
        <w:ind w:firstLine="720"/>
        <w:jc w:val="both"/>
        <w:rPr>
          <w:rFonts w:ascii="Arial" w:eastAsia="Times New Roman" w:hAnsi="Arial" w:cs="Arial"/>
          <w:color w:val="EE0000"/>
          <w:kern w:val="0"/>
          <w:sz w:val="22"/>
          <w:szCs w:val="22"/>
          <w14:ligatures w14:val="none"/>
        </w:rPr>
      </w:pPr>
      <w:r w:rsidRPr="007A2CE7">
        <w:rPr>
          <w:rFonts w:ascii="Arial" w:eastAsia="Times New Roman" w:hAnsi="Arial" w:cs="Arial"/>
          <w:i/>
          <w:iCs/>
          <w:color w:val="1B1B1B"/>
          <w:kern w:val="0"/>
          <w:sz w:val="22"/>
          <w:szCs w:val="22"/>
          <w:shd w:val="clear" w:color="auto" w:fill="FFFFFF"/>
          <w14:ligatures w14:val="none"/>
        </w:rPr>
        <w:t> </w:t>
      </w:r>
      <w:r w:rsidRPr="007A2CE7">
        <w:rPr>
          <w:rFonts w:ascii="Arial" w:eastAsia="Times New Roman" w:hAnsi="Arial" w:cs="Arial"/>
          <w:i/>
          <w:iCs/>
          <w:color w:val="EE0000"/>
          <w:kern w:val="0"/>
          <w:sz w:val="22"/>
          <w:szCs w:val="22"/>
          <w:shd w:val="clear" w:color="auto" w:fill="FFFFFF"/>
          <w14:ligatures w14:val="none"/>
        </w:rPr>
        <w:t>       </w:t>
      </w:r>
      <w:r w:rsidRPr="007A2CE7">
        <w:rPr>
          <w:rFonts w:ascii="Arial" w:eastAsia="Times New Roman" w:hAnsi="Arial" w:cs="Arial"/>
          <w:i/>
          <w:iCs/>
          <w:color w:val="EE0000"/>
          <w:kern w:val="0"/>
          <w:sz w:val="22"/>
          <w:szCs w:val="22"/>
          <w:shd w:val="clear" w:color="auto" w:fill="FFFFFF"/>
          <w14:ligatures w14:val="none"/>
        </w:rPr>
        <w:tab/>
      </w:r>
      <w:r w:rsidRPr="007A2CE7">
        <w:rPr>
          <w:rFonts w:ascii="Arial" w:eastAsia="Times New Roman" w:hAnsi="Arial" w:cs="Arial"/>
          <w:color w:val="000000" w:themeColor="text1"/>
          <w:kern w:val="0"/>
          <w:sz w:val="22"/>
          <w:szCs w:val="22"/>
          <w:shd w:val="clear" w:color="auto" w:fill="FFFFFF"/>
          <w14:ligatures w14:val="none"/>
        </w:rPr>
        <w:t xml:space="preserve">A systematic review and meta-analysis </w:t>
      </w:r>
      <w:proofErr w:type="gramStart"/>
      <w:r w:rsidR="007A2BC0" w:rsidRPr="007A2CE7">
        <w:rPr>
          <w:rFonts w:ascii="Arial" w:eastAsia="Times New Roman" w:hAnsi="Arial" w:cs="Arial"/>
          <w:color w:val="000000" w:themeColor="text1"/>
          <w:kern w:val="0"/>
          <w:sz w:val="22"/>
          <w:szCs w:val="22"/>
          <w:shd w:val="clear" w:color="auto" w:fill="FFFFFF"/>
          <w14:ligatures w14:val="none"/>
        </w:rPr>
        <w:t>was</w:t>
      </w:r>
      <w:proofErr w:type="gramEnd"/>
      <w:r w:rsidRPr="007A2CE7">
        <w:rPr>
          <w:rFonts w:ascii="Arial" w:eastAsia="Times New Roman" w:hAnsi="Arial" w:cs="Arial"/>
          <w:color w:val="000000" w:themeColor="text1"/>
          <w:kern w:val="0"/>
          <w:sz w:val="22"/>
          <w:szCs w:val="22"/>
          <w:shd w:val="clear" w:color="auto" w:fill="FFFFFF"/>
          <w14:ligatures w14:val="none"/>
        </w:rPr>
        <w:t xml:space="preserve"> performed in accordance with the Preferred Reporting Items for Systematic Reviews and Meta-Analyses (PRISMA) 2020 guidelines for systematic reviews and meta-analysis </w:t>
      </w:r>
      <w:r w:rsidRPr="007A2CE7">
        <w:rPr>
          <w:rFonts w:ascii="Arial" w:eastAsia="Times New Roman" w:hAnsi="Arial" w:cs="Arial"/>
          <w:i/>
          <w:iCs/>
          <w:color w:val="000000" w:themeColor="text1"/>
          <w:kern w:val="0"/>
          <w:sz w:val="22"/>
          <w:szCs w:val="22"/>
          <w:shd w:val="clear" w:color="auto" w:fill="FFFFFF"/>
          <w14:ligatures w14:val="none"/>
        </w:rPr>
        <w:t>(</w:t>
      </w:r>
      <w:r w:rsidR="00B066D3" w:rsidRPr="007A2CE7">
        <w:rPr>
          <w:rFonts w:ascii="Arial" w:eastAsia="Times New Roman" w:hAnsi="Arial" w:cs="Arial"/>
          <w:i/>
          <w:iCs/>
          <w:color w:val="000000" w:themeColor="text1"/>
          <w:kern w:val="0"/>
          <w:sz w:val="22"/>
          <w:szCs w:val="22"/>
          <w:shd w:val="clear" w:color="auto" w:fill="FFFFFF"/>
          <w14:ligatures w14:val="none"/>
        </w:rPr>
        <w:t xml:space="preserve">PROSPERO ID: CRD420261471147) </w:t>
      </w:r>
      <w:r w:rsidRPr="007A2CE7">
        <w:rPr>
          <w:rFonts w:ascii="Arial" w:eastAsia="Times New Roman" w:hAnsi="Arial" w:cs="Arial"/>
          <w:color w:val="000000" w:themeColor="text1"/>
          <w:kern w:val="0"/>
          <w:sz w:val="22"/>
          <w:szCs w:val="22"/>
          <w:shd w:val="clear" w:color="auto" w:fill="FFFFFF"/>
          <w14:ligatures w14:val="none"/>
        </w:rPr>
        <w:t>[1</w:t>
      </w:r>
      <w:r w:rsidR="007A2CE7" w:rsidRPr="007A2CE7">
        <w:rPr>
          <w:rFonts w:ascii="Arial" w:eastAsia="Times New Roman" w:hAnsi="Arial" w:cs="Arial"/>
          <w:color w:val="000000" w:themeColor="text1"/>
          <w:kern w:val="0"/>
          <w:sz w:val="22"/>
          <w:szCs w:val="22"/>
          <w:shd w:val="clear" w:color="auto" w:fill="FFFFFF"/>
          <w14:ligatures w14:val="none"/>
        </w:rPr>
        <w:t>4</w:t>
      </w:r>
      <w:r w:rsidRPr="007A2CE7">
        <w:rPr>
          <w:rFonts w:ascii="Arial" w:eastAsia="Times New Roman" w:hAnsi="Arial" w:cs="Arial"/>
          <w:color w:val="000000" w:themeColor="text1"/>
          <w:kern w:val="0"/>
          <w:sz w:val="22"/>
          <w:szCs w:val="22"/>
          <w:shd w:val="clear" w:color="auto" w:fill="FFFFFF"/>
          <w14:ligatures w14:val="none"/>
        </w:rPr>
        <w:t>,1</w:t>
      </w:r>
      <w:r w:rsidR="007A2CE7" w:rsidRPr="007A2CE7">
        <w:rPr>
          <w:rFonts w:ascii="Arial" w:eastAsia="Times New Roman" w:hAnsi="Arial" w:cs="Arial"/>
          <w:color w:val="000000" w:themeColor="text1"/>
          <w:kern w:val="0"/>
          <w:sz w:val="22"/>
          <w:szCs w:val="22"/>
          <w:shd w:val="clear" w:color="auto" w:fill="FFFFFF"/>
          <w14:ligatures w14:val="none"/>
        </w:rPr>
        <w:t>5</w:t>
      </w:r>
      <w:r w:rsidRPr="007A2CE7">
        <w:rPr>
          <w:rFonts w:ascii="Arial" w:eastAsia="Times New Roman" w:hAnsi="Arial" w:cs="Arial"/>
          <w:color w:val="000000" w:themeColor="text1"/>
          <w:kern w:val="0"/>
          <w:sz w:val="22"/>
          <w:szCs w:val="22"/>
          <w:shd w:val="clear" w:color="auto" w:fill="FFFFFF"/>
          <w14:ligatures w14:val="none"/>
        </w:rPr>
        <w:t xml:space="preserve">]. A comprehensive literature search was conducted across the PubMed, MEDLINE, and EMBASE databases through </w:t>
      </w:r>
      <w:r w:rsidR="00DF3E96" w:rsidRPr="007A2CE7">
        <w:rPr>
          <w:rFonts w:ascii="Arial" w:eastAsia="Times New Roman" w:hAnsi="Arial" w:cs="Arial"/>
          <w:color w:val="000000" w:themeColor="text1"/>
          <w:kern w:val="0"/>
          <w:sz w:val="22"/>
          <w:szCs w:val="22"/>
          <w:shd w:val="clear" w:color="auto" w:fill="FFFFFF"/>
          <w14:ligatures w14:val="none"/>
        </w:rPr>
        <w:t>April</w:t>
      </w:r>
      <w:r w:rsidRPr="007A2CE7">
        <w:rPr>
          <w:rFonts w:ascii="Arial" w:eastAsia="Times New Roman" w:hAnsi="Arial" w:cs="Arial"/>
          <w:color w:val="000000" w:themeColor="text1"/>
          <w:kern w:val="0"/>
          <w:sz w:val="22"/>
          <w:szCs w:val="22"/>
          <w:shd w:val="clear" w:color="auto" w:fill="FFFFFF"/>
          <w14:ligatures w14:val="none"/>
        </w:rPr>
        <w:t xml:space="preserve"> </w:t>
      </w:r>
      <w:r w:rsidR="00DF3E96" w:rsidRPr="007A2CE7">
        <w:rPr>
          <w:rFonts w:ascii="Arial" w:eastAsia="Times New Roman" w:hAnsi="Arial" w:cs="Arial"/>
          <w:color w:val="000000" w:themeColor="text1"/>
          <w:kern w:val="0"/>
          <w:sz w:val="22"/>
          <w:szCs w:val="22"/>
          <w:shd w:val="clear" w:color="auto" w:fill="FFFFFF"/>
          <w14:ligatures w14:val="none"/>
        </w:rPr>
        <w:t>3</w:t>
      </w:r>
      <w:r w:rsidRPr="007A2CE7">
        <w:rPr>
          <w:rFonts w:ascii="Arial" w:eastAsia="Times New Roman" w:hAnsi="Arial" w:cs="Arial"/>
          <w:color w:val="000000" w:themeColor="text1"/>
          <w:kern w:val="0"/>
          <w:sz w:val="22"/>
          <w:szCs w:val="22"/>
          <w:shd w:val="clear" w:color="auto" w:fill="FFFFFF"/>
          <w14:ligatures w14:val="none"/>
        </w:rPr>
        <w:t>0th, 202</w:t>
      </w:r>
      <w:r w:rsidR="00DF3E96" w:rsidRPr="007A2CE7">
        <w:rPr>
          <w:rFonts w:ascii="Arial" w:eastAsia="Times New Roman" w:hAnsi="Arial" w:cs="Arial"/>
          <w:color w:val="000000" w:themeColor="text1"/>
          <w:kern w:val="0"/>
          <w:sz w:val="22"/>
          <w:szCs w:val="22"/>
          <w:shd w:val="clear" w:color="auto" w:fill="FFFFFF"/>
          <w14:ligatures w14:val="none"/>
        </w:rPr>
        <w:t>6</w:t>
      </w:r>
      <w:r w:rsidRPr="007A2CE7">
        <w:rPr>
          <w:rFonts w:ascii="Arial" w:eastAsia="Times New Roman" w:hAnsi="Arial" w:cs="Arial"/>
          <w:color w:val="000000" w:themeColor="text1"/>
          <w:kern w:val="0"/>
          <w:sz w:val="22"/>
          <w:szCs w:val="22"/>
          <w:shd w:val="clear" w:color="auto" w:fill="FFFFFF"/>
          <w14:ligatures w14:val="none"/>
        </w:rPr>
        <w:t xml:space="preserve">, to identify peer-reviewed, original research articles evaluating the </w:t>
      </w:r>
      <w:r w:rsidR="00DF3E96" w:rsidRPr="007A2CE7">
        <w:rPr>
          <w:rFonts w:ascii="Arial" w:eastAsia="Times New Roman" w:hAnsi="Arial" w:cs="Arial"/>
          <w:color w:val="000000" w:themeColor="text1"/>
          <w:kern w:val="0"/>
          <w:sz w:val="22"/>
          <w:szCs w:val="22"/>
          <w:shd w:val="clear" w:color="auto" w:fill="FFFFFF"/>
          <w14:ligatures w14:val="none"/>
        </w:rPr>
        <w:t>intra-operative use of either intraosseous, intravenous or topical vancomycin for prosthetic joint infection prophylaxis in primary total knee arthroplasty. (</w:t>
      </w:r>
      <w:r w:rsidR="006029A4" w:rsidRPr="007A2CE7">
        <w:rPr>
          <w:rFonts w:ascii="Arial" w:eastAsia="Times New Roman" w:hAnsi="Arial" w:cs="Arial"/>
          <w:b/>
          <w:bCs/>
          <w:color w:val="000000" w:themeColor="text1"/>
          <w:kern w:val="0"/>
          <w:sz w:val="22"/>
          <w:szCs w:val="22"/>
          <w:shd w:val="clear" w:color="auto" w:fill="FFFFFF"/>
          <w14:ligatures w14:val="none"/>
        </w:rPr>
        <w:t>Supplementary table 1).</w:t>
      </w:r>
    </w:p>
    <w:p w14:paraId="1531EEE3" w14:textId="77777777" w:rsidR="006E0588" w:rsidRPr="007A2CE7" w:rsidRDefault="006E0588" w:rsidP="004F09E5">
      <w:pPr>
        <w:spacing w:before="240" w:line="360" w:lineRule="auto"/>
        <w:ind w:firstLine="720"/>
        <w:jc w:val="both"/>
        <w:rPr>
          <w:rFonts w:ascii="Arial" w:eastAsia="Times New Roman" w:hAnsi="Arial" w:cs="Arial"/>
          <w:kern w:val="0"/>
          <w:sz w:val="22"/>
          <w:szCs w:val="22"/>
          <w14:ligatures w14:val="none"/>
        </w:rPr>
      </w:pPr>
      <w:r w:rsidRPr="007A2CE7">
        <w:rPr>
          <w:rFonts w:ascii="Arial" w:eastAsia="Times New Roman" w:hAnsi="Arial" w:cs="Arial"/>
          <w:i/>
          <w:iCs/>
          <w:color w:val="1B1B1B"/>
          <w:kern w:val="0"/>
          <w:sz w:val="22"/>
          <w:szCs w:val="22"/>
          <w:shd w:val="clear" w:color="auto" w:fill="FFFFFF"/>
          <w14:ligatures w14:val="none"/>
        </w:rPr>
        <w:t>Inclusion Criteria</w:t>
      </w:r>
    </w:p>
    <w:p w14:paraId="7E5BDB92" w14:textId="6B498ADF" w:rsidR="00556913" w:rsidRDefault="00556913" w:rsidP="004F09E5">
      <w:pPr>
        <w:spacing w:before="240" w:after="240" w:line="360" w:lineRule="auto"/>
        <w:ind w:firstLine="720"/>
        <w:jc w:val="both"/>
        <w:rPr>
          <w:rFonts w:ascii="Arial" w:eastAsia="Times New Roman" w:hAnsi="Arial" w:cs="Arial"/>
          <w:color w:val="000000" w:themeColor="text1"/>
          <w:kern w:val="0"/>
          <w:sz w:val="22"/>
          <w:szCs w:val="22"/>
          <w:shd w:val="clear" w:color="auto" w:fill="FFFFFF"/>
          <w14:ligatures w14:val="none"/>
        </w:rPr>
      </w:pPr>
      <w:r w:rsidRPr="00556913">
        <w:rPr>
          <w:rFonts w:ascii="Arial" w:eastAsia="Times New Roman" w:hAnsi="Arial" w:cs="Arial"/>
          <w:color w:val="000000" w:themeColor="text1"/>
          <w:kern w:val="0"/>
          <w:sz w:val="22"/>
          <w:szCs w:val="22"/>
          <w:shd w:val="clear" w:color="auto" w:fill="FFFFFF"/>
          <w14:ligatures w14:val="none"/>
        </w:rPr>
        <w:t xml:space="preserve">Studies were included if they evaluated adults (≥18 years) undergoing elective primary TKA who received perioperative vancomycin prophylaxis (within 120 minutes before incision or intraoperatively) and reported at least one relevant outcome (e.g., PJI, </w:t>
      </w:r>
      <w:r>
        <w:rPr>
          <w:rFonts w:ascii="Arial" w:eastAsia="Times New Roman" w:hAnsi="Arial" w:cs="Arial"/>
          <w:color w:val="000000" w:themeColor="text1"/>
          <w:kern w:val="0"/>
          <w:sz w:val="22"/>
          <w:szCs w:val="22"/>
          <w:shd w:val="clear" w:color="auto" w:fill="FFFFFF"/>
          <w14:ligatures w14:val="none"/>
        </w:rPr>
        <w:t>superficial SSI</w:t>
      </w:r>
      <w:r w:rsidRPr="00556913">
        <w:rPr>
          <w:rFonts w:ascii="Arial" w:eastAsia="Times New Roman" w:hAnsi="Arial" w:cs="Arial"/>
          <w:color w:val="000000" w:themeColor="text1"/>
          <w:kern w:val="0"/>
          <w:sz w:val="22"/>
          <w:szCs w:val="22"/>
          <w:shd w:val="clear" w:color="auto" w:fill="FFFFFF"/>
          <w14:ligatures w14:val="none"/>
        </w:rPr>
        <w:t xml:space="preserve">, reoperation, </w:t>
      </w:r>
      <w:r>
        <w:rPr>
          <w:rFonts w:ascii="Arial" w:eastAsia="Times New Roman" w:hAnsi="Arial" w:cs="Arial"/>
          <w:color w:val="000000" w:themeColor="text1"/>
          <w:kern w:val="0"/>
          <w:sz w:val="22"/>
          <w:szCs w:val="22"/>
          <w:shd w:val="clear" w:color="auto" w:fill="FFFFFF"/>
          <w14:ligatures w14:val="none"/>
        </w:rPr>
        <w:t>AKI</w:t>
      </w:r>
      <w:r w:rsidRPr="00556913">
        <w:rPr>
          <w:rFonts w:ascii="Arial" w:eastAsia="Times New Roman" w:hAnsi="Arial" w:cs="Arial"/>
          <w:color w:val="000000" w:themeColor="text1"/>
          <w:kern w:val="0"/>
          <w:sz w:val="22"/>
          <w:szCs w:val="22"/>
          <w:shd w:val="clear" w:color="auto" w:fill="FFFFFF"/>
          <w14:ligatures w14:val="none"/>
        </w:rPr>
        <w:t xml:space="preserve">, </w:t>
      </w:r>
      <w:r>
        <w:rPr>
          <w:rFonts w:ascii="Arial" w:eastAsia="Times New Roman" w:hAnsi="Arial" w:cs="Arial"/>
          <w:color w:val="000000" w:themeColor="text1"/>
          <w:kern w:val="0"/>
          <w:sz w:val="22"/>
          <w:szCs w:val="22"/>
          <w:shd w:val="clear" w:color="auto" w:fill="FFFFFF"/>
          <w14:ligatures w14:val="none"/>
        </w:rPr>
        <w:t>VTE</w:t>
      </w:r>
      <w:r w:rsidRPr="00556913">
        <w:rPr>
          <w:rFonts w:ascii="Arial" w:eastAsia="Times New Roman" w:hAnsi="Arial" w:cs="Arial"/>
          <w:color w:val="000000" w:themeColor="text1"/>
          <w:kern w:val="0"/>
          <w:sz w:val="22"/>
          <w:szCs w:val="22"/>
          <w:shd w:val="clear" w:color="auto" w:fill="FFFFFF"/>
          <w14:ligatures w14:val="none"/>
        </w:rPr>
        <w:t>, or serum vancomycin concentrations). Randomized trials and observational (prospective or retrospective cohort) studies published in peer-reviewed journals were eligible. Studies were excluded if they involved non-arthroplasty populations, revision TKA, non-vancomycin prophylaxis, animal studies, case reports, abstracts, reviews, editorials, protocols, non-English publications</w:t>
      </w:r>
      <w:r>
        <w:rPr>
          <w:rFonts w:ascii="Arial" w:eastAsia="Times New Roman" w:hAnsi="Arial" w:cs="Arial"/>
          <w:color w:val="000000" w:themeColor="text1"/>
          <w:kern w:val="0"/>
          <w:sz w:val="22"/>
          <w:szCs w:val="22"/>
          <w:shd w:val="clear" w:color="auto" w:fill="FFFFFF"/>
          <w14:ligatures w14:val="none"/>
        </w:rPr>
        <w:t xml:space="preserve"> or </w:t>
      </w:r>
      <w:r w:rsidRPr="00556913">
        <w:rPr>
          <w:rFonts w:ascii="Arial" w:eastAsia="Times New Roman" w:hAnsi="Arial" w:cs="Arial"/>
          <w:color w:val="000000" w:themeColor="text1"/>
          <w:kern w:val="0"/>
          <w:sz w:val="22"/>
          <w:szCs w:val="22"/>
          <w:shd w:val="clear" w:color="auto" w:fill="FFFFFF"/>
          <w14:ligatures w14:val="none"/>
        </w:rPr>
        <w:t xml:space="preserve">non-perioperative vancomycin administration. Two independent reviewers (B.W. and M.M.) screened all studies using Covidence (Veritas Health Innovation, Melbourne, Australia), with a third reviewer (R.Q.) resolving disagreements. The search identified 1,023 unique records after duplicate removal; 31 underwent full-text review, and 18 met inclusion criteria for final synthesis [10,14,17-33] </w:t>
      </w:r>
      <w:r w:rsidRPr="00556913">
        <w:rPr>
          <w:rFonts w:ascii="Arial" w:eastAsia="Times New Roman" w:hAnsi="Arial" w:cs="Arial"/>
          <w:b/>
          <w:bCs/>
          <w:color w:val="000000" w:themeColor="text1"/>
          <w:kern w:val="0"/>
          <w:sz w:val="22"/>
          <w:szCs w:val="22"/>
          <w:shd w:val="clear" w:color="auto" w:fill="FFFFFF"/>
          <w14:ligatures w14:val="none"/>
        </w:rPr>
        <w:t>(Fig. 1).</w:t>
      </w:r>
    </w:p>
    <w:p w14:paraId="2B2D61B0" w14:textId="352F9B0C" w:rsidR="00D40AF3" w:rsidRPr="007A2CE7" w:rsidRDefault="00D40AF3" w:rsidP="004F09E5">
      <w:pPr>
        <w:spacing w:before="240" w:after="240" w:line="360" w:lineRule="auto"/>
        <w:ind w:firstLine="720"/>
        <w:jc w:val="both"/>
        <w:rPr>
          <w:rFonts w:ascii="Arial" w:eastAsia="Times New Roman" w:hAnsi="Arial" w:cs="Arial"/>
          <w:kern w:val="0"/>
          <w:sz w:val="22"/>
          <w:szCs w:val="22"/>
          <w14:ligatures w14:val="none"/>
        </w:rPr>
      </w:pPr>
      <w:r w:rsidRPr="007A2CE7">
        <w:rPr>
          <w:rFonts w:ascii="Arial" w:eastAsia="Times New Roman" w:hAnsi="Arial" w:cs="Arial"/>
          <w:i/>
          <w:iCs/>
          <w:color w:val="1B1B1B"/>
          <w:kern w:val="0"/>
          <w:sz w:val="22"/>
          <w:szCs w:val="22"/>
          <w:shd w:val="clear" w:color="auto" w:fill="FFFFFF"/>
          <w14:ligatures w14:val="none"/>
        </w:rPr>
        <w:t>Quality Assessment</w:t>
      </w:r>
    </w:p>
    <w:p w14:paraId="07096373" w14:textId="74E13D31" w:rsidR="00D40AF3" w:rsidRPr="002560E3" w:rsidRDefault="00A754EF" w:rsidP="00A754EF">
      <w:pPr>
        <w:spacing w:before="240" w:after="240" w:line="360" w:lineRule="auto"/>
        <w:ind w:firstLine="720"/>
        <w:jc w:val="both"/>
        <w:rPr>
          <w:rFonts w:ascii="Arial" w:eastAsia="Times New Roman" w:hAnsi="Arial" w:cs="Arial"/>
          <w:color w:val="000000" w:themeColor="text1"/>
          <w:kern w:val="0"/>
          <w:sz w:val="22"/>
          <w:szCs w:val="22"/>
          <w:shd w:val="clear" w:color="auto" w:fill="FFFFFF"/>
          <w14:ligatures w14:val="none"/>
        </w:rPr>
      </w:pPr>
      <w:r w:rsidRPr="002560E3">
        <w:rPr>
          <w:rFonts w:ascii="Arial" w:eastAsia="Times New Roman" w:hAnsi="Arial" w:cs="Arial"/>
          <w:color w:val="000000" w:themeColor="text1"/>
          <w:kern w:val="0"/>
          <w:sz w:val="22"/>
          <w:szCs w:val="22"/>
          <w:shd w:val="clear" w:color="auto" w:fill="FFFFFF"/>
          <w14:ligatures w14:val="none"/>
        </w:rPr>
        <w:t xml:space="preserve">Methodological quality and risk of bias were assessed using study-design–specific tools: Newcastle–Ottawa Scale (NOS) and ROBINS-I for non-randomized studies, and Cochrane </w:t>
      </w:r>
      <w:proofErr w:type="spellStart"/>
      <w:r w:rsidRPr="002560E3">
        <w:rPr>
          <w:rFonts w:ascii="Arial" w:eastAsia="Times New Roman" w:hAnsi="Arial" w:cs="Arial"/>
          <w:color w:val="000000" w:themeColor="text1"/>
          <w:kern w:val="0"/>
          <w:sz w:val="22"/>
          <w:szCs w:val="22"/>
          <w:shd w:val="clear" w:color="auto" w:fill="FFFFFF"/>
          <w14:ligatures w14:val="none"/>
        </w:rPr>
        <w:t>RoB</w:t>
      </w:r>
      <w:proofErr w:type="spellEnd"/>
      <w:r w:rsidRPr="002560E3">
        <w:rPr>
          <w:rFonts w:ascii="Arial" w:eastAsia="Times New Roman" w:hAnsi="Arial" w:cs="Arial"/>
          <w:color w:val="000000" w:themeColor="text1"/>
          <w:kern w:val="0"/>
          <w:sz w:val="22"/>
          <w:szCs w:val="22"/>
          <w:shd w:val="clear" w:color="auto" w:fill="FFFFFF"/>
          <w14:ligatures w14:val="none"/>
        </w:rPr>
        <w:t xml:space="preserve"> 2 for randomized controlled trials</w:t>
      </w:r>
      <w:r w:rsidR="007A2CE7" w:rsidRPr="002560E3">
        <w:rPr>
          <w:rFonts w:ascii="Arial" w:eastAsia="Times New Roman" w:hAnsi="Arial" w:cs="Arial"/>
          <w:color w:val="000000" w:themeColor="text1"/>
          <w:kern w:val="0"/>
          <w:sz w:val="22"/>
          <w:szCs w:val="22"/>
          <w:shd w:val="clear" w:color="auto" w:fill="FFFFFF"/>
          <w14:ligatures w14:val="none"/>
        </w:rPr>
        <w:t xml:space="preserve"> by two independent reviewers (B.W. and M.M.)</w:t>
      </w:r>
      <w:r w:rsidRPr="002560E3">
        <w:rPr>
          <w:rFonts w:ascii="Arial" w:eastAsia="Times New Roman" w:hAnsi="Arial" w:cs="Arial"/>
          <w:color w:val="000000" w:themeColor="text1"/>
          <w:kern w:val="0"/>
          <w:sz w:val="22"/>
          <w:szCs w:val="22"/>
          <w:shd w:val="clear" w:color="auto" w:fill="FFFFFF"/>
          <w14:ligatures w14:val="none"/>
        </w:rPr>
        <w:t xml:space="preserve"> [3</w:t>
      </w:r>
      <w:r w:rsidR="009A1204">
        <w:rPr>
          <w:rFonts w:ascii="Arial" w:eastAsia="Times New Roman" w:hAnsi="Arial" w:cs="Arial"/>
          <w:color w:val="000000" w:themeColor="text1"/>
          <w:kern w:val="0"/>
          <w:sz w:val="22"/>
          <w:szCs w:val="22"/>
          <w:shd w:val="clear" w:color="auto" w:fill="FFFFFF"/>
          <w14:ligatures w14:val="none"/>
        </w:rPr>
        <w:t>4</w:t>
      </w:r>
      <w:r w:rsidR="007A2CE7" w:rsidRPr="002560E3">
        <w:rPr>
          <w:rFonts w:ascii="Arial" w:eastAsia="Times New Roman" w:hAnsi="Arial" w:cs="Arial"/>
          <w:color w:val="000000" w:themeColor="text1"/>
          <w:kern w:val="0"/>
          <w:sz w:val="22"/>
          <w:szCs w:val="22"/>
          <w:shd w:val="clear" w:color="auto" w:fill="FFFFFF"/>
          <w14:ligatures w14:val="none"/>
        </w:rPr>
        <w:t>-3</w:t>
      </w:r>
      <w:r w:rsidR="009A1204">
        <w:rPr>
          <w:rFonts w:ascii="Arial" w:eastAsia="Times New Roman" w:hAnsi="Arial" w:cs="Arial"/>
          <w:color w:val="000000" w:themeColor="text1"/>
          <w:kern w:val="0"/>
          <w:sz w:val="22"/>
          <w:szCs w:val="22"/>
          <w:shd w:val="clear" w:color="auto" w:fill="FFFFFF"/>
          <w14:ligatures w14:val="none"/>
        </w:rPr>
        <w:t>6</w:t>
      </w:r>
      <w:r w:rsidRPr="002560E3">
        <w:rPr>
          <w:rFonts w:ascii="Arial" w:eastAsia="Times New Roman" w:hAnsi="Arial" w:cs="Arial"/>
          <w:color w:val="000000" w:themeColor="text1"/>
          <w:kern w:val="0"/>
          <w:sz w:val="22"/>
          <w:szCs w:val="22"/>
          <w:shd w:val="clear" w:color="auto" w:fill="FFFFFF"/>
          <w14:ligatures w14:val="none"/>
        </w:rPr>
        <w:t>] (</w:t>
      </w:r>
      <w:r w:rsidRPr="00562C95">
        <w:rPr>
          <w:rFonts w:ascii="Arial" w:eastAsia="Times New Roman" w:hAnsi="Arial" w:cs="Arial"/>
          <w:b/>
          <w:bCs/>
          <w:color w:val="000000" w:themeColor="text1"/>
          <w:kern w:val="0"/>
          <w:sz w:val="22"/>
          <w:szCs w:val="22"/>
          <w:shd w:val="clear" w:color="auto" w:fill="FFFFFF"/>
          <w14:ligatures w14:val="none"/>
        </w:rPr>
        <w:t>Fig. 2</w:t>
      </w:r>
      <w:r w:rsidRPr="002560E3">
        <w:rPr>
          <w:rFonts w:ascii="Arial" w:eastAsia="Times New Roman" w:hAnsi="Arial" w:cs="Arial"/>
          <w:color w:val="000000" w:themeColor="text1"/>
          <w:kern w:val="0"/>
          <w:sz w:val="22"/>
          <w:szCs w:val="22"/>
          <w:shd w:val="clear" w:color="auto" w:fill="FFFFFF"/>
          <w14:ligatures w14:val="none"/>
        </w:rPr>
        <w:t xml:space="preserve">, </w:t>
      </w:r>
      <w:r w:rsidRPr="002560E3">
        <w:rPr>
          <w:rFonts w:ascii="Arial" w:eastAsia="Times New Roman" w:hAnsi="Arial" w:cs="Arial"/>
          <w:b/>
          <w:bCs/>
          <w:color w:val="000000" w:themeColor="text1"/>
          <w:kern w:val="0"/>
          <w:sz w:val="22"/>
          <w:szCs w:val="22"/>
          <w:shd w:val="clear" w:color="auto" w:fill="FFFFFF"/>
          <w14:ligatures w14:val="none"/>
        </w:rPr>
        <w:t>Supplementar</w:t>
      </w:r>
      <w:r w:rsidR="002560E3">
        <w:rPr>
          <w:rFonts w:ascii="Arial" w:eastAsia="Times New Roman" w:hAnsi="Arial" w:cs="Arial"/>
          <w:b/>
          <w:bCs/>
          <w:color w:val="000000" w:themeColor="text1"/>
          <w:kern w:val="0"/>
          <w:sz w:val="22"/>
          <w:szCs w:val="22"/>
          <w:shd w:val="clear" w:color="auto" w:fill="FFFFFF"/>
          <w14:ligatures w14:val="none"/>
        </w:rPr>
        <w:t>y</w:t>
      </w:r>
      <w:r w:rsidRPr="002560E3">
        <w:rPr>
          <w:rFonts w:ascii="Arial" w:eastAsia="Times New Roman" w:hAnsi="Arial" w:cs="Arial"/>
          <w:b/>
          <w:bCs/>
          <w:color w:val="000000" w:themeColor="text1"/>
          <w:kern w:val="0"/>
          <w:sz w:val="22"/>
          <w:szCs w:val="22"/>
          <w:shd w:val="clear" w:color="auto" w:fill="FFFFFF"/>
          <w14:ligatures w14:val="none"/>
        </w:rPr>
        <w:t xml:space="preserve"> </w:t>
      </w:r>
      <w:r w:rsidR="002560E3">
        <w:rPr>
          <w:rFonts w:ascii="Arial" w:eastAsia="Times New Roman" w:hAnsi="Arial" w:cs="Arial"/>
          <w:b/>
          <w:bCs/>
          <w:color w:val="000000" w:themeColor="text1"/>
          <w:kern w:val="0"/>
          <w:sz w:val="22"/>
          <w:szCs w:val="22"/>
          <w:shd w:val="clear" w:color="auto" w:fill="FFFFFF"/>
          <w14:ligatures w14:val="none"/>
        </w:rPr>
        <w:t>t</w:t>
      </w:r>
      <w:r w:rsidRPr="002560E3">
        <w:rPr>
          <w:rFonts w:ascii="Arial" w:eastAsia="Times New Roman" w:hAnsi="Arial" w:cs="Arial"/>
          <w:b/>
          <w:bCs/>
          <w:color w:val="000000" w:themeColor="text1"/>
          <w:kern w:val="0"/>
          <w:sz w:val="22"/>
          <w:szCs w:val="22"/>
          <w:shd w:val="clear" w:color="auto" w:fill="FFFFFF"/>
          <w14:ligatures w14:val="none"/>
        </w:rPr>
        <w:t>able 2</w:t>
      </w:r>
      <w:r w:rsidRPr="002560E3">
        <w:rPr>
          <w:rFonts w:ascii="Arial" w:eastAsia="Times New Roman" w:hAnsi="Arial" w:cs="Arial"/>
          <w:color w:val="000000" w:themeColor="text1"/>
          <w:kern w:val="0"/>
          <w:sz w:val="22"/>
          <w:szCs w:val="22"/>
          <w:shd w:val="clear" w:color="auto" w:fill="FFFFFF"/>
          <w14:ligatures w14:val="none"/>
        </w:rPr>
        <w:t xml:space="preserve">). The </w:t>
      </w:r>
      <w:r w:rsidR="007A2CE7" w:rsidRPr="002560E3">
        <w:rPr>
          <w:rFonts w:ascii="Arial" w:eastAsia="Times New Roman" w:hAnsi="Arial" w:cs="Arial"/>
          <w:color w:val="000000" w:themeColor="text1"/>
          <w:kern w:val="0"/>
          <w:sz w:val="22"/>
          <w:szCs w:val="22"/>
          <w:shd w:val="clear" w:color="auto" w:fill="FFFFFF"/>
          <w14:ligatures w14:val="none"/>
        </w:rPr>
        <w:t>five</w:t>
      </w:r>
      <w:r w:rsidRPr="002560E3">
        <w:rPr>
          <w:rFonts w:ascii="Arial" w:eastAsia="Times New Roman" w:hAnsi="Arial" w:cs="Arial"/>
          <w:color w:val="000000" w:themeColor="text1"/>
          <w:kern w:val="0"/>
          <w:sz w:val="22"/>
          <w:szCs w:val="22"/>
          <w:shd w:val="clear" w:color="auto" w:fill="FFFFFF"/>
          <w14:ligatures w14:val="none"/>
        </w:rPr>
        <w:t xml:space="preserve"> randomized trials showed low risk of bias (</w:t>
      </w:r>
      <w:r w:rsidRPr="002560E3">
        <w:rPr>
          <w:rFonts w:ascii="Arial" w:eastAsia="Times New Roman" w:hAnsi="Arial" w:cs="Arial"/>
          <w:b/>
          <w:bCs/>
          <w:color w:val="000000" w:themeColor="text1"/>
          <w:kern w:val="0"/>
          <w:sz w:val="22"/>
          <w:szCs w:val="22"/>
          <w:shd w:val="clear" w:color="auto" w:fill="FFFFFF"/>
          <w14:ligatures w14:val="none"/>
        </w:rPr>
        <w:t>Fi</w:t>
      </w:r>
      <w:r w:rsidR="002560E3" w:rsidRPr="002560E3">
        <w:rPr>
          <w:rFonts w:ascii="Arial" w:eastAsia="Times New Roman" w:hAnsi="Arial" w:cs="Arial"/>
          <w:b/>
          <w:bCs/>
          <w:color w:val="000000" w:themeColor="text1"/>
          <w:kern w:val="0"/>
          <w:sz w:val="22"/>
          <w:szCs w:val="22"/>
          <w:shd w:val="clear" w:color="auto" w:fill="FFFFFF"/>
          <w14:ligatures w14:val="none"/>
        </w:rPr>
        <w:t>g.</w:t>
      </w:r>
      <w:r w:rsidRPr="002560E3">
        <w:rPr>
          <w:rFonts w:ascii="Arial" w:eastAsia="Times New Roman" w:hAnsi="Arial" w:cs="Arial"/>
          <w:b/>
          <w:bCs/>
          <w:color w:val="000000" w:themeColor="text1"/>
          <w:kern w:val="0"/>
          <w:sz w:val="22"/>
          <w:szCs w:val="22"/>
          <w:shd w:val="clear" w:color="auto" w:fill="FFFFFF"/>
          <w14:ligatures w14:val="none"/>
        </w:rPr>
        <w:t xml:space="preserve"> </w:t>
      </w:r>
      <w:r w:rsidR="007A2CE7" w:rsidRPr="002560E3">
        <w:rPr>
          <w:rFonts w:ascii="Arial" w:eastAsia="Times New Roman" w:hAnsi="Arial" w:cs="Arial"/>
          <w:b/>
          <w:bCs/>
          <w:color w:val="000000" w:themeColor="text1"/>
          <w:kern w:val="0"/>
          <w:sz w:val="22"/>
          <w:szCs w:val="22"/>
          <w:shd w:val="clear" w:color="auto" w:fill="FFFFFF"/>
          <w14:ligatures w14:val="none"/>
        </w:rPr>
        <w:t>3</w:t>
      </w:r>
      <w:r w:rsidRPr="002560E3">
        <w:rPr>
          <w:rFonts w:ascii="Arial" w:eastAsia="Times New Roman" w:hAnsi="Arial" w:cs="Arial"/>
          <w:color w:val="000000" w:themeColor="text1"/>
          <w:kern w:val="0"/>
          <w:sz w:val="22"/>
          <w:szCs w:val="22"/>
          <w:shd w:val="clear" w:color="auto" w:fill="FFFFFF"/>
          <w14:ligatures w14:val="none"/>
        </w:rPr>
        <w:t xml:space="preserve">). Most non-randomized studies were retrospective comparisons with favorable NOS scores ranging from 4 to 9 (average 7.33; 10 high quality, two moderate quality). ROBINS-I identified potential risk of bias in nine studies, primarily stemming from temporal and treatment-selection differences in </w:t>
      </w:r>
      <w:r w:rsidRPr="002560E3">
        <w:rPr>
          <w:rFonts w:ascii="Arial" w:eastAsia="Times New Roman" w:hAnsi="Arial" w:cs="Arial"/>
          <w:color w:val="000000" w:themeColor="text1"/>
          <w:kern w:val="0"/>
          <w:sz w:val="22"/>
          <w:szCs w:val="22"/>
          <w:shd w:val="clear" w:color="auto" w:fill="FFFFFF"/>
          <w14:ligatures w14:val="none"/>
        </w:rPr>
        <w:lastRenderedPageBreak/>
        <w:t>historical or sequential cohorts and staggered surgeon adoption of vancomycin; however, several studies adjusted for relevant confounders. Three non-randomized studies had moderate overall risk of bias. One single-arm prospective pharmacokinetic study was assessed narratively and therefore not pooled with comparative studies.</w:t>
      </w:r>
      <w:r w:rsidRPr="002560E3">
        <w:rPr>
          <w:rFonts w:ascii="Arial" w:eastAsia="Times New Roman" w:hAnsi="Arial" w:cs="Arial"/>
          <w:b/>
          <w:bCs/>
          <w:color w:val="000000" w:themeColor="text1"/>
          <w:kern w:val="0"/>
          <w:sz w:val="22"/>
          <w:szCs w:val="22"/>
          <w:shd w:val="clear" w:color="auto" w:fill="FFFFFF"/>
          <w14:ligatures w14:val="none"/>
        </w:rPr>
        <w:t xml:space="preserve"> </w:t>
      </w:r>
      <w:r w:rsidR="00D06ACF" w:rsidRPr="002560E3">
        <w:rPr>
          <w:rFonts w:ascii="Arial" w:eastAsia="Times New Roman" w:hAnsi="Arial" w:cs="Arial"/>
          <w:b/>
          <w:bCs/>
          <w:color w:val="000000" w:themeColor="text1"/>
          <w:kern w:val="0"/>
          <w:sz w:val="22"/>
          <w:szCs w:val="22"/>
          <w:shd w:val="clear" w:color="auto" w:fill="FFFFFF"/>
          <w14:ligatures w14:val="none"/>
        </w:rPr>
        <w:t>(Fig</w:t>
      </w:r>
      <w:r w:rsidR="004F09E5" w:rsidRPr="002560E3">
        <w:rPr>
          <w:rFonts w:ascii="Arial" w:eastAsia="Times New Roman" w:hAnsi="Arial" w:cs="Arial"/>
          <w:b/>
          <w:bCs/>
          <w:color w:val="000000" w:themeColor="text1"/>
          <w:kern w:val="0"/>
          <w:sz w:val="22"/>
          <w:szCs w:val="22"/>
          <w:shd w:val="clear" w:color="auto" w:fill="FFFFFF"/>
          <w14:ligatures w14:val="none"/>
        </w:rPr>
        <w:t>.2</w:t>
      </w:r>
      <w:r w:rsidR="000E679E" w:rsidRPr="002560E3">
        <w:rPr>
          <w:rFonts w:ascii="Arial" w:eastAsia="Times New Roman" w:hAnsi="Arial" w:cs="Arial"/>
          <w:b/>
          <w:bCs/>
          <w:color w:val="000000" w:themeColor="text1"/>
          <w:kern w:val="0"/>
          <w:sz w:val="22"/>
          <w:szCs w:val="22"/>
          <w:shd w:val="clear" w:color="auto" w:fill="FFFFFF"/>
          <w14:ligatures w14:val="none"/>
        </w:rPr>
        <w:t xml:space="preserve"> and </w:t>
      </w:r>
      <w:r w:rsidR="002560E3" w:rsidRPr="002560E3">
        <w:rPr>
          <w:rFonts w:ascii="Arial" w:eastAsia="Times New Roman" w:hAnsi="Arial" w:cs="Arial"/>
          <w:b/>
          <w:bCs/>
          <w:color w:val="000000" w:themeColor="text1"/>
          <w:kern w:val="0"/>
          <w:sz w:val="22"/>
          <w:szCs w:val="22"/>
          <w:shd w:val="clear" w:color="auto" w:fill="FFFFFF"/>
          <w14:ligatures w14:val="none"/>
        </w:rPr>
        <w:t>Fig.</w:t>
      </w:r>
      <w:r w:rsidR="000E679E" w:rsidRPr="002560E3">
        <w:rPr>
          <w:rFonts w:ascii="Arial" w:eastAsia="Times New Roman" w:hAnsi="Arial" w:cs="Arial"/>
          <w:b/>
          <w:bCs/>
          <w:color w:val="000000" w:themeColor="text1"/>
          <w:kern w:val="0"/>
          <w:sz w:val="22"/>
          <w:szCs w:val="22"/>
          <w:shd w:val="clear" w:color="auto" w:fill="FFFFFF"/>
          <w14:ligatures w14:val="none"/>
        </w:rPr>
        <w:t xml:space="preserve"> 3</w:t>
      </w:r>
      <w:r w:rsidR="00D06ACF" w:rsidRPr="002560E3">
        <w:rPr>
          <w:rFonts w:ascii="Arial" w:eastAsia="Times New Roman" w:hAnsi="Arial" w:cs="Arial"/>
          <w:b/>
          <w:bCs/>
          <w:color w:val="000000" w:themeColor="text1"/>
          <w:kern w:val="0"/>
          <w:sz w:val="22"/>
          <w:szCs w:val="22"/>
          <w:shd w:val="clear" w:color="auto" w:fill="FFFFFF"/>
          <w14:ligatures w14:val="none"/>
        </w:rPr>
        <w:t>).</w:t>
      </w:r>
      <w:r w:rsidR="00240B97" w:rsidRPr="002560E3">
        <w:rPr>
          <w:rFonts w:ascii="Arial" w:eastAsia="Times New Roman" w:hAnsi="Arial" w:cs="Arial"/>
          <w:b/>
          <w:bCs/>
          <w:color w:val="000000" w:themeColor="text1"/>
          <w:kern w:val="0"/>
          <w:sz w:val="22"/>
          <w:szCs w:val="22"/>
          <w:shd w:val="clear" w:color="auto" w:fill="FFFFFF"/>
          <w14:ligatures w14:val="none"/>
        </w:rPr>
        <w:t xml:space="preserve"> </w:t>
      </w:r>
    </w:p>
    <w:p w14:paraId="7FB5ABC4" w14:textId="77777777" w:rsidR="006E0588" w:rsidRPr="007A2CE7" w:rsidRDefault="006E0588" w:rsidP="004F09E5">
      <w:pPr>
        <w:spacing w:before="240" w:after="240" w:line="360" w:lineRule="auto"/>
        <w:ind w:firstLine="720"/>
        <w:jc w:val="both"/>
        <w:rPr>
          <w:rFonts w:ascii="Arial" w:eastAsia="Times New Roman" w:hAnsi="Arial" w:cs="Arial"/>
          <w:kern w:val="0"/>
          <w:sz w:val="22"/>
          <w:szCs w:val="22"/>
          <w14:ligatures w14:val="none"/>
        </w:rPr>
      </w:pPr>
      <w:r w:rsidRPr="007A2CE7">
        <w:rPr>
          <w:rFonts w:ascii="Arial" w:eastAsia="Times New Roman" w:hAnsi="Arial" w:cs="Arial"/>
          <w:i/>
          <w:iCs/>
          <w:color w:val="1B1B1B"/>
          <w:kern w:val="0"/>
          <w:sz w:val="22"/>
          <w:szCs w:val="22"/>
          <w:shd w:val="clear" w:color="auto" w:fill="FFFFFF"/>
          <w14:ligatures w14:val="none"/>
        </w:rPr>
        <w:t>Data Extraction </w:t>
      </w:r>
    </w:p>
    <w:p w14:paraId="07FAEAB5" w14:textId="38C0C0AF" w:rsidR="00A754EF" w:rsidRPr="007A2CE7" w:rsidRDefault="009A1204" w:rsidP="00C465D3">
      <w:pPr>
        <w:spacing w:before="240" w:after="240" w:line="360" w:lineRule="auto"/>
        <w:ind w:firstLine="720"/>
        <w:jc w:val="both"/>
        <w:rPr>
          <w:rFonts w:ascii="Arial" w:eastAsia="Times New Roman" w:hAnsi="Arial" w:cs="Arial"/>
          <w:b/>
          <w:bCs/>
          <w:color w:val="1B1B1B"/>
          <w:kern w:val="0"/>
          <w:sz w:val="22"/>
          <w:szCs w:val="22"/>
          <w:shd w:val="clear" w:color="auto" w:fill="FFFFFF"/>
          <w14:ligatures w14:val="none"/>
        </w:rPr>
      </w:pPr>
      <w:r w:rsidRPr="009A1204">
        <w:rPr>
          <w:rFonts w:ascii="Arial" w:eastAsia="Times New Roman" w:hAnsi="Arial" w:cs="Arial"/>
          <w:color w:val="000000" w:themeColor="text1"/>
          <w:kern w:val="0"/>
          <w:sz w:val="22"/>
          <w:szCs w:val="22"/>
          <w:shd w:val="clear" w:color="auto" w:fill="FFFFFF"/>
          <w14:ligatures w14:val="none"/>
        </w:rPr>
        <w:t>Data extraction was performed independently by two reviewers using a standardized form, capturing study characteristics, patient demographics, surgical characteristics, vancomycin administration route (intravenous, intraosseous, topical, or control/no vancomycin), and postoperative outcomes. Primary outcomes were 90-day periprosthetic joint infection (PJI), surgical site infection (SSI), and reoperation; secondary outcomes were 30-day acute kidney injury, 90-day venous thromboembolism, and postoperative serum vancomycin concentrations. Event counts and sample sizes were extracted for binary outcomes, and means and standard deviations for continuous outcomes, when available; effect estimates with 95% confidence intervals were recorded when reported. Data from each relevant comparison group and time point were extracted separately when multiple were available.</w:t>
      </w:r>
      <w:r w:rsidR="008019DF" w:rsidRPr="007A2CE7">
        <w:rPr>
          <w:rFonts w:ascii="Arial" w:eastAsia="Times New Roman" w:hAnsi="Arial" w:cs="Arial"/>
          <w:color w:val="EE0000"/>
          <w:kern w:val="0"/>
          <w:sz w:val="22"/>
          <w:szCs w:val="22"/>
          <w:shd w:val="clear" w:color="auto" w:fill="FFFFFF"/>
          <w14:ligatures w14:val="none"/>
        </w:rPr>
        <w:t xml:space="preserve"> </w:t>
      </w:r>
      <w:r w:rsidR="00073490" w:rsidRPr="007A2CE7">
        <w:rPr>
          <w:rFonts w:ascii="Arial" w:eastAsia="Times New Roman" w:hAnsi="Arial" w:cs="Arial"/>
          <w:color w:val="EE0000"/>
          <w:kern w:val="0"/>
          <w:sz w:val="22"/>
          <w:szCs w:val="22"/>
          <w:shd w:val="clear" w:color="auto" w:fill="FFFFFF"/>
          <w14:ligatures w14:val="none"/>
        </w:rPr>
        <w:t xml:space="preserve"> </w:t>
      </w:r>
      <w:r w:rsidR="00073490" w:rsidRPr="007A2CE7">
        <w:rPr>
          <w:rFonts w:ascii="Arial" w:eastAsia="Times New Roman" w:hAnsi="Arial" w:cs="Arial"/>
          <w:b/>
          <w:bCs/>
          <w:color w:val="1B1B1B"/>
          <w:kern w:val="0"/>
          <w:sz w:val="22"/>
          <w:szCs w:val="22"/>
          <w:shd w:val="clear" w:color="auto" w:fill="FFFFFF"/>
          <w14:ligatures w14:val="none"/>
        </w:rPr>
        <w:t xml:space="preserve">(Table </w:t>
      </w:r>
      <w:r w:rsidR="002560E3">
        <w:rPr>
          <w:rFonts w:ascii="Arial" w:eastAsia="Times New Roman" w:hAnsi="Arial" w:cs="Arial"/>
          <w:b/>
          <w:bCs/>
          <w:color w:val="1B1B1B"/>
          <w:kern w:val="0"/>
          <w:sz w:val="22"/>
          <w:szCs w:val="22"/>
          <w:shd w:val="clear" w:color="auto" w:fill="FFFFFF"/>
          <w14:ligatures w14:val="none"/>
        </w:rPr>
        <w:t>1</w:t>
      </w:r>
      <w:r w:rsidR="00562C95">
        <w:rPr>
          <w:rFonts w:ascii="Arial" w:eastAsia="Times New Roman" w:hAnsi="Arial" w:cs="Arial"/>
          <w:b/>
          <w:bCs/>
          <w:color w:val="1B1B1B"/>
          <w:kern w:val="0"/>
          <w:sz w:val="22"/>
          <w:szCs w:val="22"/>
          <w:shd w:val="clear" w:color="auto" w:fill="FFFFFF"/>
          <w14:ligatures w14:val="none"/>
        </w:rPr>
        <w:t>-5</w:t>
      </w:r>
      <w:r w:rsidR="00073490" w:rsidRPr="007A2CE7">
        <w:rPr>
          <w:rFonts w:ascii="Arial" w:eastAsia="Times New Roman" w:hAnsi="Arial" w:cs="Arial"/>
          <w:b/>
          <w:bCs/>
          <w:color w:val="1B1B1B"/>
          <w:kern w:val="0"/>
          <w:sz w:val="22"/>
          <w:szCs w:val="22"/>
          <w:shd w:val="clear" w:color="auto" w:fill="FFFFFF"/>
          <w14:ligatures w14:val="none"/>
        </w:rPr>
        <w:t>).</w:t>
      </w:r>
    </w:p>
    <w:p w14:paraId="7CEA424B" w14:textId="299A3783" w:rsidR="006E0588" w:rsidRPr="007A2CE7" w:rsidRDefault="00AE1B92" w:rsidP="004F09E5">
      <w:pPr>
        <w:spacing w:before="240" w:after="240" w:line="360" w:lineRule="auto"/>
        <w:ind w:firstLine="720"/>
        <w:jc w:val="both"/>
        <w:rPr>
          <w:rFonts w:ascii="Arial" w:eastAsia="Times New Roman" w:hAnsi="Arial" w:cs="Arial"/>
          <w:kern w:val="0"/>
          <w:sz w:val="22"/>
          <w:szCs w:val="22"/>
          <w14:ligatures w14:val="none"/>
        </w:rPr>
      </w:pPr>
      <w:r w:rsidRPr="007A2CE7">
        <w:rPr>
          <w:rFonts w:ascii="Arial" w:eastAsia="Times New Roman" w:hAnsi="Arial" w:cs="Arial"/>
          <w:i/>
          <w:iCs/>
          <w:color w:val="1B1B1B"/>
          <w:kern w:val="0"/>
          <w:sz w:val="22"/>
          <w:szCs w:val="22"/>
          <w:shd w:val="clear" w:color="auto" w:fill="FFFFFF"/>
          <w14:ligatures w14:val="none"/>
        </w:rPr>
        <w:t xml:space="preserve">Data </w:t>
      </w:r>
      <w:r w:rsidR="006E0588" w:rsidRPr="007A2CE7">
        <w:rPr>
          <w:rFonts w:ascii="Arial" w:eastAsia="Times New Roman" w:hAnsi="Arial" w:cs="Arial"/>
          <w:i/>
          <w:iCs/>
          <w:color w:val="1B1B1B"/>
          <w:kern w:val="0"/>
          <w:sz w:val="22"/>
          <w:szCs w:val="22"/>
          <w:shd w:val="clear" w:color="auto" w:fill="FFFFFF"/>
          <w14:ligatures w14:val="none"/>
        </w:rPr>
        <w:t>Analysis:</w:t>
      </w:r>
    </w:p>
    <w:p w14:paraId="05C480C3" w14:textId="7A8173E3" w:rsidR="00671960" w:rsidRDefault="00161A20" w:rsidP="007B2CBC">
      <w:pPr>
        <w:spacing w:before="240" w:after="240" w:line="360" w:lineRule="auto"/>
        <w:jc w:val="both"/>
        <w:rPr>
          <w:rFonts w:ascii="Arial" w:eastAsia="Times New Roman" w:hAnsi="Arial" w:cs="Arial"/>
          <w:color w:val="000000" w:themeColor="text1"/>
          <w:kern w:val="0"/>
          <w:sz w:val="22"/>
          <w:szCs w:val="22"/>
          <w:shd w:val="clear" w:color="auto" w:fill="FFFFFF"/>
          <w14:ligatures w14:val="none"/>
        </w:rPr>
      </w:pPr>
      <w:r w:rsidRPr="00161A20">
        <w:rPr>
          <w:rFonts w:ascii="Arial" w:eastAsia="Times New Roman" w:hAnsi="Arial" w:cs="Arial"/>
          <w:color w:val="000000" w:themeColor="text1"/>
          <w:kern w:val="0"/>
          <w:sz w:val="22"/>
          <w:szCs w:val="22"/>
          <w:shd w:val="clear" w:color="auto" w:fill="FFFFFF"/>
          <w14:ligatures w14:val="none"/>
        </w:rPr>
        <w:t xml:space="preserve">Statistical analyses used R (Version 4.4; meta and </w:t>
      </w:r>
      <w:proofErr w:type="spellStart"/>
      <w:r w:rsidRPr="00161A20">
        <w:rPr>
          <w:rFonts w:ascii="Arial" w:eastAsia="Times New Roman" w:hAnsi="Arial" w:cs="Arial"/>
          <w:color w:val="000000" w:themeColor="text1"/>
          <w:kern w:val="0"/>
          <w:sz w:val="22"/>
          <w:szCs w:val="22"/>
          <w:shd w:val="clear" w:color="auto" w:fill="FFFFFF"/>
          <w14:ligatures w14:val="none"/>
        </w:rPr>
        <w:t>metafor</w:t>
      </w:r>
      <w:proofErr w:type="spellEnd"/>
      <w:r w:rsidRPr="00161A20">
        <w:rPr>
          <w:rFonts w:ascii="Arial" w:eastAsia="Times New Roman" w:hAnsi="Arial" w:cs="Arial"/>
          <w:color w:val="000000" w:themeColor="text1"/>
          <w:kern w:val="0"/>
          <w:sz w:val="22"/>
          <w:szCs w:val="22"/>
          <w:shd w:val="clear" w:color="auto" w:fill="FFFFFF"/>
          <w14:ligatures w14:val="none"/>
        </w:rPr>
        <w:t xml:space="preserve"> packages), with random-effects models estimating pooled effect sizes and 95% CIs. Binary outcomes were pooled as random-effects proportions via inverse-variance weighting with logit transformation (PLOGIT) and continuity corrections for zero-event studies. GLMMs were considered for rare-event outcomes but excluded due to convergence issues; inverse-variance models were used instead. Continuous outcomes (serum vancomycin levels) were pooled as raw-scale means (MRAW) via inverse-variance weighting with REML estimation of between-study variance. Results are presented as forest plots per PRISMA guidelines [15]. Heterogeneity was assessed via Cochran's Q and I² (0–30% low, 31–70% moderate, 71–100% substantial), with p &lt; 0.10 denoting heterogeneity and p &lt; 0.05 overall significance. IO, IV, and topical groups were analyzed as separate subgroups and combined for an overall estimate. Leave-one-out analyses assessed individual study influence; small-study effects were assessed via funnel plots, Egger's test omitted given few studies, and trim-and-fill analyses explored funnel asymmetry.</w:t>
      </w:r>
    </w:p>
    <w:p w14:paraId="4FA513E7" w14:textId="1ADF5B76" w:rsidR="006E0588" w:rsidRPr="007A2CE7" w:rsidRDefault="006E0588" w:rsidP="004F09E5">
      <w:pPr>
        <w:spacing w:before="240" w:after="240" w:line="360" w:lineRule="auto"/>
        <w:jc w:val="both"/>
        <w:rPr>
          <w:rFonts w:ascii="Arial" w:eastAsia="Times New Roman" w:hAnsi="Arial" w:cs="Arial"/>
          <w:kern w:val="0"/>
          <w:sz w:val="22"/>
          <w:szCs w:val="22"/>
          <w14:ligatures w14:val="none"/>
        </w:rPr>
      </w:pPr>
      <w:r w:rsidRPr="007A2CE7">
        <w:rPr>
          <w:rFonts w:ascii="Arial" w:eastAsia="Times New Roman" w:hAnsi="Arial" w:cs="Arial"/>
          <w:b/>
          <w:bCs/>
          <w:color w:val="1B1B1B"/>
          <w:kern w:val="0"/>
          <w:sz w:val="22"/>
          <w:szCs w:val="22"/>
          <w:shd w:val="clear" w:color="auto" w:fill="FFFFFF"/>
          <w14:ligatures w14:val="none"/>
        </w:rPr>
        <w:t>Results</w:t>
      </w:r>
    </w:p>
    <w:p w14:paraId="75112050" w14:textId="77777777" w:rsidR="006E0588" w:rsidRPr="007A2CE7" w:rsidRDefault="006E0588" w:rsidP="004F09E5">
      <w:pPr>
        <w:spacing w:before="240" w:line="360" w:lineRule="auto"/>
        <w:jc w:val="both"/>
        <w:rPr>
          <w:rFonts w:ascii="Arial" w:eastAsia="Times New Roman" w:hAnsi="Arial" w:cs="Arial"/>
          <w:color w:val="000000" w:themeColor="text1"/>
          <w:kern w:val="0"/>
          <w:sz w:val="22"/>
          <w:szCs w:val="22"/>
          <w14:ligatures w14:val="none"/>
        </w:rPr>
      </w:pPr>
      <w:r w:rsidRPr="007A2CE7">
        <w:rPr>
          <w:rFonts w:ascii="Arial" w:eastAsia="Times New Roman" w:hAnsi="Arial" w:cs="Arial"/>
          <w:i/>
          <w:iCs/>
          <w:color w:val="000000" w:themeColor="text1"/>
          <w:kern w:val="0"/>
          <w:sz w:val="22"/>
          <w:szCs w:val="22"/>
          <w:shd w:val="clear" w:color="auto" w:fill="FFFFFF"/>
          <w14:ligatures w14:val="none"/>
        </w:rPr>
        <w:lastRenderedPageBreak/>
        <w:t>Patient Characteristics</w:t>
      </w:r>
    </w:p>
    <w:p w14:paraId="1EDD2BE5" w14:textId="6CF63FAA" w:rsidR="00161A20" w:rsidRDefault="00161A20" w:rsidP="004F09E5">
      <w:pPr>
        <w:spacing w:before="240" w:line="360" w:lineRule="auto"/>
        <w:rPr>
          <w:rFonts w:ascii="Arial" w:eastAsia="Times New Roman" w:hAnsi="Arial" w:cs="Arial"/>
          <w:color w:val="000000" w:themeColor="text1"/>
          <w:kern w:val="0"/>
          <w:sz w:val="22"/>
          <w:szCs w:val="22"/>
          <w:shd w:val="clear" w:color="auto" w:fill="FFFFFF"/>
          <w14:ligatures w14:val="none"/>
        </w:rPr>
      </w:pPr>
      <w:r w:rsidRPr="00161A20">
        <w:rPr>
          <w:rFonts w:ascii="Arial" w:eastAsia="Times New Roman" w:hAnsi="Arial" w:cs="Arial"/>
          <w:color w:val="000000" w:themeColor="text1"/>
          <w:kern w:val="0"/>
          <w:sz w:val="22"/>
          <w:szCs w:val="22"/>
          <w:shd w:val="clear" w:color="auto" w:fill="FFFFFF"/>
          <w14:ligatures w14:val="none"/>
        </w:rPr>
        <w:t>The pooled cohort comprised 15,591 patients (IO, n = 3,509; IV, n = 4,156; topical, n = 4,145; no vancomycin, n = 3,781). The weighted mean age was 66.6 years, with 63.3% female and a mean BMI of 31.2. Pooled rates of diabetes and smoking were 20.5% and 6.1%, respectively. Of the seventeen included studies, only nine reported American Society of Anesthesiologists (ASA) Physical Status Classification System values, with a weighted mean ASA score of 2.4</w:t>
      </w:r>
      <w:r w:rsidR="00562C95">
        <w:rPr>
          <w:rFonts w:ascii="Arial" w:eastAsia="Times New Roman" w:hAnsi="Arial" w:cs="Arial"/>
          <w:color w:val="000000" w:themeColor="text1"/>
          <w:kern w:val="0"/>
          <w:sz w:val="22"/>
          <w:szCs w:val="22"/>
          <w:shd w:val="clear" w:color="auto" w:fill="FFFFFF"/>
          <w14:ligatures w14:val="none"/>
        </w:rPr>
        <w:t xml:space="preserve"> (</w:t>
      </w:r>
      <w:r w:rsidR="00562C95" w:rsidRPr="00562C95">
        <w:rPr>
          <w:rFonts w:ascii="Arial" w:eastAsia="Times New Roman" w:hAnsi="Arial" w:cs="Arial"/>
          <w:b/>
          <w:bCs/>
          <w:color w:val="000000" w:themeColor="text1"/>
          <w:kern w:val="0"/>
          <w:sz w:val="22"/>
          <w:szCs w:val="22"/>
          <w:shd w:val="clear" w:color="auto" w:fill="FFFFFF"/>
          <w14:ligatures w14:val="none"/>
        </w:rPr>
        <w:t>Table 1</w:t>
      </w:r>
      <w:r w:rsidR="00562C95">
        <w:rPr>
          <w:rFonts w:ascii="Arial" w:eastAsia="Times New Roman" w:hAnsi="Arial" w:cs="Arial"/>
          <w:color w:val="000000" w:themeColor="text1"/>
          <w:kern w:val="0"/>
          <w:sz w:val="22"/>
          <w:szCs w:val="22"/>
          <w:shd w:val="clear" w:color="auto" w:fill="FFFFFF"/>
          <w14:ligatures w14:val="none"/>
        </w:rPr>
        <w:t>).</w:t>
      </w:r>
      <w:r w:rsidRPr="00161A20">
        <w:rPr>
          <w:rFonts w:ascii="Arial" w:eastAsia="Times New Roman" w:hAnsi="Arial" w:cs="Arial"/>
          <w:color w:val="000000" w:themeColor="text1"/>
          <w:kern w:val="0"/>
          <w:sz w:val="22"/>
          <w:szCs w:val="22"/>
          <w:shd w:val="clear" w:color="auto" w:fill="FFFFFF"/>
          <w14:ligatures w14:val="none"/>
        </w:rPr>
        <w:t xml:space="preserve"> Mean age, percentage female, ASA score, smoking, diabetes, and BMI were comparable across intervention groups, with no significant differences between treatment groups</w:t>
      </w:r>
      <w:r w:rsidR="00671960">
        <w:rPr>
          <w:rFonts w:ascii="Arial" w:eastAsia="Times New Roman" w:hAnsi="Arial" w:cs="Arial"/>
          <w:color w:val="000000" w:themeColor="text1"/>
          <w:kern w:val="0"/>
          <w:sz w:val="22"/>
          <w:szCs w:val="22"/>
          <w:shd w:val="clear" w:color="auto" w:fill="FFFFFF"/>
          <w14:ligatures w14:val="none"/>
        </w:rPr>
        <w:t>.</w:t>
      </w:r>
    </w:p>
    <w:p w14:paraId="091B65A3" w14:textId="3D8E804F" w:rsidR="006E0588" w:rsidRPr="007A2CE7" w:rsidRDefault="003C3DEE" w:rsidP="004F09E5">
      <w:pPr>
        <w:spacing w:before="240" w:line="360" w:lineRule="auto"/>
        <w:rPr>
          <w:rFonts w:ascii="Arial" w:eastAsia="Times New Roman" w:hAnsi="Arial" w:cs="Arial"/>
          <w:color w:val="1B1B1B"/>
          <w:kern w:val="0"/>
          <w:sz w:val="22"/>
          <w:szCs w:val="22"/>
          <w:shd w:val="clear" w:color="auto" w:fill="FFFFFF"/>
          <w14:ligatures w14:val="none"/>
        </w:rPr>
      </w:pPr>
      <w:r w:rsidRPr="007A2CE7">
        <w:rPr>
          <w:rFonts w:ascii="Arial" w:eastAsia="Times New Roman" w:hAnsi="Arial" w:cs="Arial"/>
          <w:i/>
          <w:iCs/>
          <w:color w:val="131314"/>
          <w:kern w:val="0"/>
          <w:sz w:val="22"/>
          <w:szCs w:val="22"/>
          <w:shd w:val="clear" w:color="auto" w:fill="FFFFFF"/>
          <w14:ligatures w14:val="none"/>
        </w:rPr>
        <w:t>Prosthetic Joint Infection</w:t>
      </w:r>
    </w:p>
    <w:p w14:paraId="057932A1" w14:textId="3FD61969" w:rsidR="00161A20" w:rsidRDefault="00161A20" w:rsidP="004F09E5">
      <w:pPr>
        <w:spacing w:before="240" w:line="360" w:lineRule="auto"/>
        <w:rPr>
          <w:rFonts w:ascii="Arial" w:hAnsi="Arial" w:cs="Arial"/>
          <w:sz w:val="22"/>
          <w:szCs w:val="22"/>
        </w:rPr>
      </w:pPr>
      <w:r w:rsidRPr="00161A20">
        <w:rPr>
          <w:rFonts w:ascii="Arial" w:hAnsi="Arial" w:cs="Arial"/>
          <w:sz w:val="22"/>
          <w:szCs w:val="22"/>
        </w:rPr>
        <w:t xml:space="preserve">Twenty-six cohorts comprising 11,343 patients reported 90-day PJI rates. The overall pooled incidence was 1.29% (95% CI, 0.83%–2.02%), with substantial between-study heterogeneity (τ² = 0.9452; I² = 79.1%; P &lt; 0.001). Subgroup analysis showed a significant difference by vancomycin route (χ² = 11.47, </w:t>
      </w:r>
      <w:proofErr w:type="spellStart"/>
      <w:r w:rsidRPr="00161A20">
        <w:rPr>
          <w:rFonts w:ascii="Arial" w:hAnsi="Arial" w:cs="Arial"/>
          <w:sz w:val="22"/>
          <w:szCs w:val="22"/>
        </w:rPr>
        <w:t>df</w:t>
      </w:r>
      <w:proofErr w:type="spellEnd"/>
      <w:r w:rsidRPr="00161A20">
        <w:rPr>
          <w:rFonts w:ascii="Arial" w:hAnsi="Arial" w:cs="Arial"/>
          <w:sz w:val="22"/>
          <w:szCs w:val="22"/>
        </w:rPr>
        <w:t xml:space="preserve"> = 3, P = 0.0094): IO had the lowest pooled incidence at 0.50% (95% CI, 0.27%–0.93%; 4 studies, n = 2,179), followed by topical at 1.20% (95% CI, 0.47%–3.01%; 9 studies, n = 3,973), IV at 1.55% (95% CI, 0.98%–2.42%; 3 studies, n = 1,236), and control at 1.82% (95% CI, 0.94%–3.50%; 10 studies, n = 3,955). Results are summarized in </w:t>
      </w:r>
      <w:r w:rsidR="00562C95" w:rsidRPr="00562C95">
        <w:rPr>
          <w:rFonts w:ascii="Arial" w:hAnsi="Arial" w:cs="Arial"/>
          <w:b/>
          <w:bCs/>
          <w:sz w:val="22"/>
          <w:szCs w:val="22"/>
        </w:rPr>
        <w:t>tables 2-3</w:t>
      </w:r>
      <w:r w:rsidR="00562C95">
        <w:rPr>
          <w:rFonts w:ascii="Arial" w:hAnsi="Arial" w:cs="Arial"/>
          <w:b/>
          <w:bCs/>
          <w:sz w:val="22"/>
          <w:szCs w:val="22"/>
        </w:rPr>
        <w:t>, figure 4</w:t>
      </w:r>
      <w:r w:rsidR="00562C95">
        <w:rPr>
          <w:rFonts w:ascii="Arial" w:hAnsi="Arial" w:cs="Arial"/>
          <w:sz w:val="22"/>
          <w:szCs w:val="22"/>
        </w:rPr>
        <w:t xml:space="preserve"> </w:t>
      </w:r>
      <w:r w:rsidR="00562C95" w:rsidRPr="00562C95">
        <w:rPr>
          <w:rFonts w:ascii="Arial" w:hAnsi="Arial" w:cs="Arial"/>
          <w:b/>
          <w:bCs/>
          <w:sz w:val="22"/>
          <w:szCs w:val="22"/>
        </w:rPr>
        <w:t>and supplementary figure 2</w:t>
      </w:r>
      <w:r w:rsidR="00562C95">
        <w:rPr>
          <w:rFonts w:ascii="Arial" w:hAnsi="Arial" w:cs="Arial"/>
          <w:sz w:val="22"/>
          <w:szCs w:val="22"/>
        </w:rPr>
        <w:t xml:space="preserve">. </w:t>
      </w:r>
    </w:p>
    <w:p w14:paraId="33779BFE" w14:textId="4418C638" w:rsidR="006E0588" w:rsidRPr="007A2CE7" w:rsidRDefault="003C3DEE" w:rsidP="004F09E5">
      <w:pPr>
        <w:spacing w:before="240" w:line="360" w:lineRule="auto"/>
        <w:rPr>
          <w:rFonts w:ascii="Arial" w:eastAsia="Times New Roman" w:hAnsi="Arial" w:cs="Arial"/>
          <w:color w:val="131314"/>
          <w:kern w:val="0"/>
          <w:sz w:val="22"/>
          <w:szCs w:val="22"/>
          <w:shd w:val="clear" w:color="auto" w:fill="FFFFFF"/>
          <w14:ligatures w14:val="none"/>
        </w:rPr>
      </w:pPr>
      <w:r w:rsidRPr="007A2CE7">
        <w:rPr>
          <w:rFonts w:ascii="Arial" w:eastAsia="Times New Roman" w:hAnsi="Arial" w:cs="Arial"/>
          <w:i/>
          <w:iCs/>
          <w:color w:val="131314"/>
          <w:kern w:val="0"/>
          <w:sz w:val="22"/>
          <w:szCs w:val="22"/>
          <w:shd w:val="clear" w:color="auto" w:fill="FFFFFF"/>
          <w14:ligatures w14:val="none"/>
        </w:rPr>
        <w:t>Surgical Site Infections</w:t>
      </w:r>
    </w:p>
    <w:p w14:paraId="4F0F4241" w14:textId="5EE5ECCF" w:rsidR="00161A20" w:rsidRDefault="00161A20" w:rsidP="003C3DEE">
      <w:pPr>
        <w:spacing w:before="240" w:line="360" w:lineRule="auto"/>
        <w:rPr>
          <w:rFonts w:ascii="Arial" w:eastAsia="Times New Roman" w:hAnsi="Arial" w:cs="Arial"/>
          <w:color w:val="000000" w:themeColor="text1"/>
          <w:kern w:val="0"/>
          <w:sz w:val="22"/>
          <w:szCs w:val="22"/>
          <w:shd w:val="clear" w:color="auto" w:fill="FFFFFF"/>
          <w14:ligatures w14:val="none"/>
        </w:rPr>
      </w:pPr>
      <w:r w:rsidRPr="00161A20">
        <w:rPr>
          <w:rFonts w:ascii="Arial" w:eastAsia="Times New Roman" w:hAnsi="Arial" w:cs="Arial"/>
          <w:color w:val="000000" w:themeColor="text1"/>
          <w:kern w:val="0"/>
          <w:sz w:val="22"/>
          <w:szCs w:val="22"/>
          <w:shd w:val="clear" w:color="auto" w:fill="FFFFFF"/>
          <w14:ligatures w14:val="none"/>
        </w:rPr>
        <w:t xml:space="preserve">Twenty-two cohorts including 8,649 patients reported 90-day SSI rates. The overall pooled incidence was 3% (95% CI, 2%–5%), with substantial heterogeneity (τ² = 0.9981; I² = 87.7%; P &lt; 0.001). Subgroup analysis showed no significant difference by vancomycin route (χ² = 5.22, </w:t>
      </w:r>
      <w:proofErr w:type="spellStart"/>
      <w:r w:rsidRPr="00161A20">
        <w:rPr>
          <w:rFonts w:ascii="Arial" w:eastAsia="Times New Roman" w:hAnsi="Arial" w:cs="Arial"/>
          <w:color w:val="000000" w:themeColor="text1"/>
          <w:kern w:val="0"/>
          <w:sz w:val="22"/>
          <w:szCs w:val="22"/>
          <w:shd w:val="clear" w:color="auto" w:fill="FFFFFF"/>
          <w14:ligatures w14:val="none"/>
        </w:rPr>
        <w:t>df</w:t>
      </w:r>
      <w:proofErr w:type="spellEnd"/>
      <w:r w:rsidRPr="00161A20">
        <w:rPr>
          <w:rFonts w:ascii="Arial" w:eastAsia="Times New Roman" w:hAnsi="Arial" w:cs="Arial"/>
          <w:color w:val="000000" w:themeColor="text1"/>
          <w:kern w:val="0"/>
          <w:sz w:val="22"/>
          <w:szCs w:val="22"/>
          <w:shd w:val="clear" w:color="auto" w:fill="FFFFFF"/>
          <w14:ligatures w14:val="none"/>
        </w:rPr>
        <w:t xml:space="preserve"> = 3, P = 0.157): 6% (95% CI, 3%–13%) for IV (4 studies, n = 685), 3% (95% CI, 2%–4%) for IO (4 studies, n = 1,480), 2% (95% CI, 1%–4%) for topical (7 studies, n = 4,016), and 2% (95% CI, 1%–6%) for control (7 studies, n = 2,468). IV showed the highest pooled incidence, and topical and control the lowest, though subgroup differences were not significant. Findings are summarized in </w:t>
      </w:r>
      <w:r w:rsidR="00562C95" w:rsidRPr="00562C95">
        <w:rPr>
          <w:rFonts w:ascii="Arial" w:hAnsi="Arial" w:cs="Arial"/>
          <w:b/>
          <w:bCs/>
          <w:sz w:val="22"/>
          <w:szCs w:val="22"/>
        </w:rPr>
        <w:t>tables 2-3</w:t>
      </w:r>
      <w:r w:rsidR="00562C95">
        <w:rPr>
          <w:rFonts w:ascii="Arial" w:hAnsi="Arial" w:cs="Arial"/>
          <w:b/>
          <w:bCs/>
          <w:sz w:val="22"/>
          <w:szCs w:val="22"/>
        </w:rPr>
        <w:t xml:space="preserve"> and supplementary figure 4. </w:t>
      </w:r>
    </w:p>
    <w:p w14:paraId="391FFE4A" w14:textId="77777777" w:rsidR="00562C95" w:rsidRDefault="00562C95" w:rsidP="003C3DEE">
      <w:pPr>
        <w:spacing w:before="240" w:line="360" w:lineRule="auto"/>
        <w:rPr>
          <w:rFonts w:ascii="Arial" w:eastAsia="Times New Roman" w:hAnsi="Arial" w:cs="Arial"/>
          <w:color w:val="000000" w:themeColor="text1"/>
          <w:kern w:val="0"/>
          <w:sz w:val="22"/>
          <w:szCs w:val="22"/>
          <w:shd w:val="clear" w:color="auto" w:fill="FFFFFF"/>
          <w14:ligatures w14:val="none"/>
        </w:rPr>
      </w:pPr>
    </w:p>
    <w:p w14:paraId="2480BFAA" w14:textId="77777777" w:rsidR="00FA3FE9" w:rsidRDefault="00FA3FE9" w:rsidP="003C3DEE">
      <w:pPr>
        <w:spacing w:before="240" w:line="360" w:lineRule="auto"/>
        <w:rPr>
          <w:rFonts w:ascii="Arial" w:eastAsia="Times New Roman" w:hAnsi="Arial" w:cs="Arial"/>
          <w:i/>
          <w:iCs/>
          <w:color w:val="131314"/>
          <w:kern w:val="0"/>
          <w:sz w:val="22"/>
          <w:szCs w:val="22"/>
          <w:shd w:val="clear" w:color="auto" w:fill="FFFFFF"/>
          <w14:ligatures w14:val="none"/>
        </w:rPr>
      </w:pPr>
    </w:p>
    <w:p w14:paraId="1D48B8FC" w14:textId="6490DD25" w:rsidR="003C3DEE" w:rsidRPr="007A2CE7" w:rsidRDefault="003C3DEE" w:rsidP="003C3DEE">
      <w:pPr>
        <w:spacing w:before="240" w:line="360" w:lineRule="auto"/>
        <w:rPr>
          <w:rFonts w:ascii="Arial" w:eastAsia="Times New Roman" w:hAnsi="Arial" w:cs="Arial"/>
          <w:i/>
          <w:iCs/>
          <w:color w:val="131314"/>
          <w:kern w:val="0"/>
          <w:sz w:val="22"/>
          <w:szCs w:val="22"/>
          <w:shd w:val="clear" w:color="auto" w:fill="FFFFFF"/>
          <w14:ligatures w14:val="none"/>
        </w:rPr>
      </w:pPr>
      <w:r w:rsidRPr="007A2CE7">
        <w:rPr>
          <w:rFonts w:ascii="Arial" w:eastAsia="Times New Roman" w:hAnsi="Arial" w:cs="Arial"/>
          <w:i/>
          <w:iCs/>
          <w:color w:val="131314"/>
          <w:kern w:val="0"/>
          <w:sz w:val="22"/>
          <w:szCs w:val="22"/>
          <w:shd w:val="clear" w:color="auto" w:fill="FFFFFF"/>
          <w14:ligatures w14:val="none"/>
        </w:rPr>
        <w:lastRenderedPageBreak/>
        <w:t>Reoperation</w:t>
      </w:r>
    </w:p>
    <w:p w14:paraId="25FA4D0D" w14:textId="5BFC67B3" w:rsidR="00161A20" w:rsidRPr="00C326B0" w:rsidRDefault="00161A20" w:rsidP="004F09E5">
      <w:pPr>
        <w:spacing w:before="240" w:after="240" w:line="360" w:lineRule="auto"/>
        <w:jc w:val="both"/>
        <w:rPr>
          <w:rFonts w:ascii="Arial" w:eastAsia="Times New Roman" w:hAnsi="Arial" w:cs="Arial"/>
          <w:b/>
          <w:bCs/>
          <w:color w:val="000000" w:themeColor="text1"/>
          <w:kern w:val="0"/>
          <w:sz w:val="22"/>
          <w:szCs w:val="22"/>
          <w:shd w:val="clear" w:color="auto" w:fill="FFFFFF"/>
          <w14:ligatures w14:val="none"/>
        </w:rPr>
      </w:pPr>
      <w:r w:rsidRPr="00161A20">
        <w:rPr>
          <w:rFonts w:ascii="Arial" w:eastAsia="Times New Roman" w:hAnsi="Arial" w:cs="Arial"/>
          <w:color w:val="000000" w:themeColor="text1"/>
          <w:kern w:val="0"/>
          <w:sz w:val="22"/>
          <w:szCs w:val="22"/>
          <w:shd w:val="clear" w:color="auto" w:fill="FFFFFF"/>
          <w14:ligatures w14:val="none"/>
        </w:rPr>
        <w:t xml:space="preserve">Twenty-two cohorts comprising 9,585 patients reported 90-day reoperation rates. The overall pooled incidence was 3% (95% CI, 2%–4%), with substantial heterogeneity (τ² = 0.9034; I² = 85.3%; P &lt; 0.001). Subgroup analysis showed no significant difference by vancomycin route (χ² = 2.91, </w:t>
      </w:r>
      <w:proofErr w:type="spellStart"/>
      <w:r w:rsidRPr="00161A20">
        <w:rPr>
          <w:rFonts w:ascii="Arial" w:eastAsia="Times New Roman" w:hAnsi="Arial" w:cs="Arial"/>
          <w:color w:val="000000" w:themeColor="text1"/>
          <w:kern w:val="0"/>
          <w:sz w:val="22"/>
          <w:szCs w:val="22"/>
          <w:shd w:val="clear" w:color="auto" w:fill="FFFFFF"/>
          <w14:ligatures w14:val="none"/>
        </w:rPr>
        <w:t>df</w:t>
      </w:r>
      <w:proofErr w:type="spellEnd"/>
      <w:r w:rsidRPr="00161A20">
        <w:rPr>
          <w:rFonts w:ascii="Arial" w:eastAsia="Times New Roman" w:hAnsi="Arial" w:cs="Arial"/>
          <w:color w:val="000000" w:themeColor="text1"/>
          <w:kern w:val="0"/>
          <w:sz w:val="22"/>
          <w:szCs w:val="22"/>
          <w:shd w:val="clear" w:color="auto" w:fill="FFFFFF"/>
          <w14:ligatures w14:val="none"/>
        </w:rPr>
        <w:t xml:space="preserve"> = 3, P = 0.405): 4% (95% CI, 2%–7%) for IV (3 studies, n = 1,146), 3% (95% CI, 1%–5%) for IO (3 studies, n = 1,857), 2% (95% CI, 1%–5%) for topical (8 studies, n = 4,065), and 3% (95% CI, 2%–6%) for control (8 studies, n = 2,517). IV showed the highest pooled incidence and topical the lowest, though subgroup differences were not significant. Findings are summarized in </w:t>
      </w:r>
      <w:r w:rsidR="00C326B0" w:rsidRPr="00C326B0">
        <w:rPr>
          <w:rFonts w:ascii="Arial" w:eastAsia="Times New Roman" w:hAnsi="Arial" w:cs="Arial"/>
          <w:b/>
          <w:bCs/>
          <w:color w:val="000000" w:themeColor="text1"/>
          <w:kern w:val="0"/>
          <w:sz w:val="22"/>
          <w:szCs w:val="22"/>
          <w:shd w:val="clear" w:color="auto" w:fill="FFFFFF"/>
          <w14:ligatures w14:val="none"/>
        </w:rPr>
        <w:t xml:space="preserve">tables 2-3 and supplementary figure 3. </w:t>
      </w:r>
    </w:p>
    <w:p w14:paraId="6744D7F6" w14:textId="2C96885E" w:rsidR="006E0588" w:rsidRPr="007A2CE7" w:rsidRDefault="003C3DEE" w:rsidP="004F09E5">
      <w:pPr>
        <w:spacing w:before="240" w:after="240" w:line="360" w:lineRule="auto"/>
        <w:jc w:val="both"/>
        <w:rPr>
          <w:rFonts w:ascii="Arial" w:eastAsia="Times New Roman" w:hAnsi="Arial" w:cs="Arial"/>
          <w:kern w:val="0"/>
          <w:sz w:val="22"/>
          <w:szCs w:val="22"/>
          <w14:ligatures w14:val="none"/>
        </w:rPr>
      </w:pPr>
      <w:r w:rsidRPr="007A2CE7">
        <w:rPr>
          <w:rFonts w:ascii="Arial" w:eastAsia="Times New Roman" w:hAnsi="Arial" w:cs="Arial"/>
          <w:i/>
          <w:iCs/>
          <w:color w:val="131314"/>
          <w:kern w:val="0"/>
          <w:sz w:val="22"/>
          <w:szCs w:val="22"/>
          <w:shd w:val="clear" w:color="auto" w:fill="FFFFFF"/>
          <w14:ligatures w14:val="none"/>
        </w:rPr>
        <w:t>Serum Vancomycin Levels</w:t>
      </w:r>
    </w:p>
    <w:p w14:paraId="7B316B55" w14:textId="38DC35DC" w:rsidR="00161A20" w:rsidRDefault="00161A20" w:rsidP="00C326B0">
      <w:pPr>
        <w:spacing w:before="240" w:after="240" w:line="360" w:lineRule="auto"/>
        <w:jc w:val="both"/>
        <w:rPr>
          <w:rFonts w:ascii="Arial" w:eastAsia="Times New Roman" w:hAnsi="Arial" w:cs="Arial"/>
          <w:color w:val="000000" w:themeColor="text1"/>
          <w:kern w:val="0"/>
          <w:sz w:val="22"/>
          <w:szCs w:val="22"/>
          <w:shd w:val="clear" w:color="auto" w:fill="FFFFFF"/>
          <w14:ligatures w14:val="none"/>
        </w:rPr>
      </w:pPr>
      <w:r w:rsidRPr="00161A20">
        <w:rPr>
          <w:rFonts w:ascii="Arial" w:eastAsia="Times New Roman" w:hAnsi="Arial" w:cs="Arial"/>
          <w:color w:val="000000" w:themeColor="text1"/>
          <w:kern w:val="0"/>
          <w:sz w:val="22"/>
          <w:szCs w:val="22"/>
          <w:shd w:val="clear" w:color="auto" w:fill="FFFFFF"/>
          <w14:ligatures w14:val="none"/>
        </w:rPr>
        <w:t xml:space="preserve">Ten reported concentrations from eight cohorts (134 patients; five studies) described local and systemic vancomycin levels by IV, intraosseous (IO), and topical route. Sampling varied in timing after incision (65–360 minutes) and tissue type (serum vs. subcutaneous fat), so concentrations were not directly comparable across studies; findings were therefore interpreted qualitatively by route, given substantial heterogeneity (τ² = 64.2885; I² = 98.6%; P &lt; 0.001). IV concentrations ranged from 2.30 </w:t>
      </w:r>
      <w:proofErr w:type="spellStart"/>
      <w:r w:rsidRPr="00161A20">
        <w:rPr>
          <w:rFonts w:ascii="Arial" w:eastAsia="Times New Roman" w:hAnsi="Arial" w:cs="Arial"/>
          <w:color w:val="000000" w:themeColor="text1"/>
          <w:kern w:val="0"/>
          <w:sz w:val="22"/>
          <w:szCs w:val="22"/>
          <w:shd w:val="clear" w:color="auto" w:fill="FFFFFF"/>
          <w14:ligatures w14:val="none"/>
        </w:rPr>
        <w:t>μg</w:t>
      </w:r>
      <w:proofErr w:type="spellEnd"/>
      <w:r w:rsidRPr="00161A20">
        <w:rPr>
          <w:rFonts w:ascii="Arial" w:eastAsia="Times New Roman" w:hAnsi="Arial" w:cs="Arial"/>
          <w:color w:val="000000" w:themeColor="text1"/>
          <w:kern w:val="0"/>
          <w:sz w:val="22"/>
          <w:szCs w:val="22"/>
          <w:shd w:val="clear" w:color="auto" w:fill="FFFFFF"/>
          <w14:ligatures w14:val="none"/>
        </w:rPr>
        <w:t xml:space="preserve">/mL (SD, 1.20; n = 11, subcutaneous fat, 72 min) to 20.10 </w:t>
      </w:r>
      <w:proofErr w:type="spellStart"/>
      <w:r w:rsidRPr="00161A20">
        <w:rPr>
          <w:rFonts w:ascii="Arial" w:eastAsia="Times New Roman" w:hAnsi="Arial" w:cs="Arial"/>
          <w:color w:val="000000" w:themeColor="text1"/>
          <w:kern w:val="0"/>
          <w:sz w:val="22"/>
          <w:szCs w:val="22"/>
          <w:shd w:val="clear" w:color="auto" w:fill="FFFFFF"/>
          <w14:ligatures w14:val="none"/>
        </w:rPr>
        <w:t>μg</w:t>
      </w:r>
      <w:proofErr w:type="spellEnd"/>
      <w:r w:rsidRPr="00161A20">
        <w:rPr>
          <w:rFonts w:ascii="Arial" w:eastAsia="Times New Roman" w:hAnsi="Arial" w:cs="Arial"/>
          <w:color w:val="000000" w:themeColor="text1"/>
          <w:kern w:val="0"/>
          <w:sz w:val="22"/>
          <w:szCs w:val="22"/>
          <w:shd w:val="clear" w:color="auto" w:fill="FFFFFF"/>
          <w14:ligatures w14:val="none"/>
        </w:rPr>
        <w:t xml:space="preserve">/mL (SD, 4.20; n = 12, serum, 100 min), with intermediate values of 4.68 </w:t>
      </w:r>
      <w:proofErr w:type="spellStart"/>
      <w:r w:rsidRPr="00161A20">
        <w:rPr>
          <w:rFonts w:ascii="Arial" w:eastAsia="Times New Roman" w:hAnsi="Arial" w:cs="Arial"/>
          <w:color w:val="000000" w:themeColor="text1"/>
          <w:kern w:val="0"/>
          <w:sz w:val="22"/>
          <w:szCs w:val="22"/>
          <w:shd w:val="clear" w:color="auto" w:fill="FFFFFF"/>
          <w14:ligatures w14:val="none"/>
        </w:rPr>
        <w:t>μg</w:t>
      </w:r>
      <w:proofErr w:type="spellEnd"/>
      <w:r w:rsidRPr="00161A20">
        <w:rPr>
          <w:rFonts w:ascii="Arial" w:eastAsia="Times New Roman" w:hAnsi="Arial" w:cs="Arial"/>
          <w:color w:val="000000" w:themeColor="text1"/>
          <w:kern w:val="0"/>
          <w:sz w:val="22"/>
          <w:szCs w:val="22"/>
          <w:shd w:val="clear" w:color="auto" w:fill="FFFFFF"/>
          <w14:ligatures w14:val="none"/>
        </w:rPr>
        <w:t xml:space="preserve">/mL (SD, 2.40; n = 12, subcutaneous fat, 100 min) and 19.60 </w:t>
      </w:r>
      <w:proofErr w:type="spellStart"/>
      <w:r w:rsidRPr="00161A20">
        <w:rPr>
          <w:rFonts w:ascii="Arial" w:eastAsia="Times New Roman" w:hAnsi="Arial" w:cs="Arial"/>
          <w:color w:val="000000" w:themeColor="text1"/>
          <w:kern w:val="0"/>
          <w:sz w:val="22"/>
          <w:szCs w:val="22"/>
          <w:shd w:val="clear" w:color="auto" w:fill="FFFFFF"/>
          <w14:ligatures w14:val="none"/>
        </w:rPr>
        <w:t>μg</w:t>
      </w:r>
      <w:proofErr w:type="spellEnd"/>
      <w:r w:rsidRPr="00161A20">
        <w:rPr>
          <w:rFonts w:ascii="Arial" w:eastAsia="Times New Roman" w:hAnsi="Arial" w:cs="Arial"/>
          <w:color w:val="000000" w:themeColor="text1"/>
          <w:kern w:val="0"/>
          <w:sz w:val="22"/>
          <w:szCs w:val="22"/>
          <w:shd w:val="clear" w:color="auto" w:fill="FFFFFF"/>
          <w14:ligatures w14:val="none"/>
        </w:rPr>
        <w:t xml:space="preserve">/mL (SD, 2.60; n = 10, serum, 120 min). IO concentrations ranged from 4.70 </w:t>
      </w:r>
      <w:proofErr w:type="spellStart"/>
      <w:r w:rsidRPr="00161A20">
        <w:rPr>
          <w:rFonts w:ascii="Arial" w:eastAsia="Times New Roman" w:hAnsi="Arial" w:cs="Arial"/>
          <w:color w:val="000000" w:themeColor="text1"/>
          <w:kern w:val="0"/>
          <w:sz w:val="22"/>
          <w:szCs w:val="22"/>
          <w:shd w:val="clear" w:color="auto" w:fill="FFFFFF"/>
          <w14:ligatures w14:val="none"/>
        </w:rPr>
        <w:t>μg</w:t>
      </w:r>
      <w:proofErr w:type="spellEnd"/>
      <w:r w:rsidRPr="00161A20">
        <w:rPr>
          <w:rFonts w:ascii="Arial" w:eastAsia="Times New Roman" w:hAnsi="Arial" w:cs="Arial"/>
          <w:color w:val="000000" w:themeColor="text1"/>
          <w:kern w:val="0"/>
          <w:sz w:val="22"/>
          <w:szCs w:val="22"/>
          <w:shd w:val="clear" w:color="auto" w:fill="FFFFFF"/>
          <w14:ligatures w14:val="none"/>
        </w:rPr>
        <w:t xml:space="preserve">/mL (SD, 0.64; n = 12, serum, 100 min) to 29.80 </w:t>
      </w:r>
      <w:proofErr w:type="spellStart"/>
      <w:r w:rsidRPr="00161A20">
        <w:rPr>
          <w:rFonts w:ascii="Arial" w:eastAsia="Times New Roman" w:hAnsi="Arial" w:cs="Arial"/>
          <w:color w:val="000000" w:themeColor="text1"/>
          <w:kern w:val="0"/>
          <w:sz w:val="22"/>
          <w:szCs w:val="22"/>
          <w:shd w:val="clear" w:color="auto" w:fill="FFFFFF"/>
          <w14:ligatures w14:val="none"/>
        </w:rPr>
        <w:t>μg</w:t>
      </w:r>
      <w:proofErr w:type="spellEnd"/>
      <w:r w:rsidRPr="00161A20">
        <w:rPr>
          <w:rFonts w:ascii="Arial" w:eastAsia="Times New Roman" w:hAnsi="Arial" w:cs="Arial"/>
          <w:color w:val="000000" w:themeColor="text1"/>
          <w:kern w:val="0"/>
          <w:sz w:val="22"/>
          <w:szCs w:val="22"/>
          <w:shd w:val="clear" w:color="auto" w:fill="FFFFFF"/>
          <w14:ligatures w14:val="none"/>
        </w:rPr>
        <w:t xml:space="preserve">/mL (SD, 24.70; n = 12, subcutaneous fat, 100 min), with additional values of 15.30 </w:t>
      </w:r>
      <w:proofErr w:type="spellStart"/>
      <w:r w:rsidRPr="00161A20">
        <w:rPr>
          <w:rFonts w:ascii="Arial" w:eastAsia="Times New Roman" w:hAnsi="Arial" w:cs="Arial"/>
          <w:color w:val="000000" w:themeColor="text1"/>
          <w:kern w:val="0"/>
          <w:sz w:val="22"/>
          <w:szCs w:val="22"/>
          <w:shd w:val="clear" w:color="auto" w:fill="FFFFFF"/>
          <w14:ligatures w14:val="none"/>
        </w:rPr>
        <w:t>μg</w:t>
      </w:r>
      <w:proofErr w:type="spellEnd"/>
      <w:r w:rsidRPr="00161A20">
        <w:rPr>
          <w:rFonts w:ascii="Arial" w:eastAsia="Times New Roman" w:hAnsi="Arial" w:cs="Arial"/>
          <w:color w:val="000000" w:themeColor="text1"/>
          <w:kern w:val="0"/>
          <w:sz w:val="22"/>
          <w:szCs w:val="22"/>
          <w:shd w:val="clear" w:color="auto" w:fill="FFFFFF"/>
          <w14:ligatures w14:val="none"/>
        </w:rPr>
        <w:t xml:space="preserve">/mL (SD, 14.50; n = 11, subcutaneous fat, 65 min) and 7.80 </w:t>
      </w:r>
      <w:proofErr w:type="spellStart"/>
      <w:r w:rsidRPr="00161A20">
        <w:rPr>
          <w:rFonts w:ascii="Arial" w:eastAsia="Times New Roman" w:hAnsi="Arial" w:cs="Arial"/>
          <w:color w:val="000000" w:themeColor="text1"/>
          <w:kern w:val="0"/>
          <w:sz w:val="22"/>
          <w:szCs w:val="22"/>
          <w:shd w:val="clear" w:color="auto" w:fill="FFFFFF"/>
          <w14:ligatures w14:val="none"/>
        </w:rPr>
        <w:t>μg</w:t>
      </w:r>
      <w:proofErr w:type="spellEnd"/>
      <w:r w:rsidRPr="00161A20">
        <w:rPr>
          <w:rFonts w:ascii="Arial" w:eastAsia="Times New Roman" w:hAnsi="Arial" w:cs="Arial"/>
          <w:color w:val="000000" w:themeColor="text1"/>
          <w:kern w:val="0"/>
          <w:sz w:val="22"/>
          <w:szCs w:val="22"/>
          <w:shd w:val="clear" w:color="auto" w:fill="FFFFFF"/>
          <w14:ligatures w14:val="none"/>
        </w:rPr>
        <w:t xml:space="preserve">/mL (SD, 1.00; n = 10, serum, 120 min). Topical administration, sampled only in serum at later time points (180–360 min), showed the lowest concentrations (1.80–5.40 </w:t>
      </w:r>
      <w:proofErr w:type="spellStart"/>
      <w:r w:rsidRPr="00161A20">
        <w:rPr>
          <w:rFonts w:ascii="Arial" w:eastAsia="Times New Roman" w:hAnsi="Arial" w:cs="Arial"/>
          <w:color w:val="000000" w:themeColor="text1"/>
          <w:kern w:val="0"/>
          <w:sz w:val="22"/>
          <w:szCs w:val="22"/>
          <w:shd w:val="clear" w:color="auto" w:fill="FFFFFF"/>
          <w14:ligatures w14:val="none"/>
        </w:rPr>
        <w:t>μg</w:t>
      </w:r>
      <w:proofErr w:type="spellEnd"/>
      <w:r w:rsidRPr="00161A20">
        <w:rPr>
          <w:rFonts w:ascii="Arial" w:eastAsia="Times New Roman" w:hAnsi="Arial" w:cs="Arial"/>
          <w:color w:val="000000" w:themeColor="text1"/>
          <w:kern w:val="0"/>
          <w:sz w:val="22"/>
          <w:szCs w:val="22"/>
          <w:shd w:val="clear" w:color="auto" w:fill="FFFFFF"/>
          <w14:ligatures w14:val="none"/>
        </w:rPr>
        <w:t xml:space="preserve">/mL; SD, 3.20–3.60; n = 19–49). Subgroup analysis showed no significant difference between routes (χ² = 1.56, </w:t>
      </w:r>
      <w:proofErr w:type="spellStart"/>
      <w:r w:rsidRPr="00161A20">
        <w:rPr>
          <w:rFonts w:ascii="Arial" w:eastAsia="Times New Roman" w:hAnsi="Arial" w:cs="Arial"/>
          <w:color w:val="000000" w:themeColor="text1"/>
          <w:kern w:val="0"/>
          <w:sz w:val="22"/>
          <w:szCs w:val="22"/>
          <w:shd w:val="clear" w:color="auto" w:fill="FFFFFF"/>
          <w14:ligatures w14:val="none"/>
        </w:rPr>
        <w:t>df</w:t>
      </w:r>
      <w:proofErr w:type="spellEnd"/>
      <w:r w:rsidRPr="00161A20">
        <w:rPr>
          <w:rFonts w:ascii="Arial" w:eastAsia="Times New Roman" w:hAnsi="Arial" w:cs="Arial"/>
          <w:color w:val="000000" w:themeColor="text1"/>
          <w:kern w:val="0"/>
          <w:sz w:val="22"/>
          <w:szCs w:val="22"/>
          <w:shd w:val="clear" w:color="auto" w:fill="FFFFFF"/>
          <w14:ligatures w14:val="none"/>
        </w:rPr>
        <w:t xml:space="preserve"> = 2, P = 0.458) (</w:t>
      </w:r>
      <w:r w:rsidR="00C326B0" w:rsidRPr="00C326B0">
        <w:rPr>
          <w:rFonts w:ascii="Arial" w:eastAsia="Times New Roman" w:hAnsi="Arial" w:cs="Arial"/>
          <w:b/>
          <w:bCs/>
          <w:color w:val="000000" w:themeColor="text1"/>
          <w:kern w:val="0"/>
          <w:sz w:val="22"/>
          <w:szCs w:val="22"/>
          <w:shd w:val="clear" w:color="auto" w:fill="FFFFFF"/>
          <w14:ligatures w14:val="none"/>
        </w:rPr>
        <w:t>Table 5</w:t>
      </w:r>
      <w:r w:rsidRPr="00C326B0">
        <w:rPr>
          <w:rFonts w:ascii="Arial" w:eastAsia="Times New Roman" w:hAnsi="Arial" w:cs="Arial"/>
          <w:b/>
          <w:bCs/>
          <w:color w:val="000000" w:themeColor="text1"/>
          <w:kern w:val="0"/>
          <w:sz w:val="22"/>
          <w:szCs w:val="22"/>
          <w:shd w:val="clear" w:color="auto" w:fill="FFFFFF"/>
          <w14:ligatures w14:val="none"/>
        </w:rPr>
        <w:t>).</w:t>
      </w:r>
    </w:p>
    <w:p w14:paraId="6356BACB" w14:textId="77994E1C" w:rsidR="00690FF4" w:rsidRPr="007A2CE7" w:rsidRDefault="00690FF4" w:rsidP="007A2CE7">
      <w:pPr>
        <w:spacing w:before="240" w:after="240" w:line="360" w:lineRule="auto"/>
        <w:jc w:val="both"/>
        <w:rPr>
          <w:rFonts w:ascii="Arial" w:eastAsia="Times New Roman" w:hAnsi="Arial" w:cs="Arial"/>
          <w:i/>
          <w:iCs/>
          <w:color w:val="131314"/>
          <w:kern w:val="0"/>
          <w:sz w:val="22"/>
          <w:szCs w:val="22"/>
          <w:shd w:val="clear" w:color="auto" w:fill="FFFFFF"/>
          <w14:ligatures w14:val="none"/>
        </w:rPr>
      </w:pPr>
      <w:r w:rsidRPr="007A2CE7">
        <w:rPr>
          <w:rFonts w:ascii="Arial" w:eastAsia="Times New Roman" w:hAnsi="Arial" w:cs="Arial"/>
          <w:i/>
          <w:iCs/>
          <w:color w:val="131314"/>
          <w:kern w:val="0"/>
          <w:sz w:val="22"/>
          <w:szCs w:val="22"/>
          <w:shd w:val="clear" w:color="auto" w:fill="FFFFFF"/>
          <w14:ligatures w14:val="none"/>
        </w:rPr>
        <w:t>Medical Outcomes:</w:t>
      </w:r>
    </w:p>
    <w:p w14:paraId="11746784" w14:textId="262B5117" w:rsidR="008259ED" w:rsidRPr="008259ED" w:rsidRDefault="008259ED" w:rsidP="008259ED">
      <w:pPr>
        <w:spacing w:line="360" w:lineRule="auto"/>
        <w:rPr>
          <w:rFonts w:ascii="Arial" w:hAnsi="Arial" w:cs="Arial"/>
          <w:sz w:val="22"/>
          <w:szCs w:val="22"/>
        </w:rPr>
      </w:pPr>
      <w:r w:rsidRPr="008259ED">
        <w:rPr>
          <w:rFonts w:ascii="Arial" w:hAnsi="Arial" w:cs="Arial"/>
          <w:sz w:val="22"/>
          <w:szCs w:val="22"/>
        </w:rPr>
        <w:t xml:space="preserve">The overall pooled incidence of 30-day postoperative acute kidney injury (AKI) was 0.85% (95% CI, 0.49%–1.45%; n = 11,186), with substantial heterogeneity (τ² = 0.7273; I² = 74.9%; P &lt; 0.001). Subgroup analysis demonstrated a significant difference in AKI incidence by vancomycin route (χ² = 8.43, </w:t>
      </w:r>
      <w:proofErr w:type="spellStart"/>
      <w:r w:rsidRPr="008259ED">
        <w:rPr>
          <w:rFonts w:ascii="Arial" w:hAnsi="Arial" w:cs="Arial"/>
          <w:sz w:val="22"/>
          <w:szCs w:val="22"/>
        </w:rPr>
        <w:t>df</w:t>
      </w:r>
      <w:proofErr w:type="spellEnd"/>
      <w:r w:rsidRPr="008259ED">
        <w:rPr>
          <w:rFonts w:ascii="Arial" w:hAnsi="Arial" w:cs="Arial"/>
          <w:sz w:val="22"/>
          <w:szCs w:val="22"/>
        </w:rPr>
        <w:t xml:space="preserve"> = 3, P = 0.038): incidence was highest for IV (1.52%; 95% CI, 1.12%–2.05%; n = 4,133), followed by IO (1.22%; 95% CI, 0.44%–3.31%; n = 3,486), topical (0.35%; 95% CI, 0.10%–1.21%; n = 1,171), and control (0.31%; 95% CI, 0.08%–1.17%; n = 2,396). The overall </w:t>
      </w:r>
      <w:r w:rsidRPr="008259ED">
        <w:rPr>
          <w:rFonts w:ascii="Arial" w:hAnsi="Arial" w:cs="Arial"/>
          <w:sz w:val="22"/>
          <w:szCs w:val="22"/>
        </w:rPr>
        <w:lastRenderedPageBreak/>
        <w:t xml:space="preserve">pooled incidence of 90-day venous thromboembolism (VTE) was 1.11% (95% CI, 0.82%–1.50%; n = 5,759), with moderate heterogeneity (τ² = 0.3604; I² = 50.8%; P = 0.015), and no significant difference between routes (χ² = 5.46, </w:t>
      </w:r>
      <w:proofErr w:type="spellStart"/>
      <w:r w:rsidRPr="008259ED">
        <w:rPr>
          <w:rFonts w:ascii="Arial" w:hAnsi="Arial" w:cs="Arial"/>
          <w:sz w:val="22"/>
          <w:szCs w:val="22"/>
        </w:rPr>
        <w:t>df</w:t>
      </w:r>
      <w:proofErr w:type="spellEnd"/>
      <w:r w:rsidRPr="008259ED">
        <w:rPr>
          <w:rFonts w:ascii="Arial" w:hAnsi="Arial" w:cs="Arial"/>
          <w:sz w:val="22"/>
          <w:szCs w:val="22"/>
        </w:rPr>
        <w:t xml:space="preserve"> = 3, P = 0.141): 1.58% (95% CI, 1.00%–2.47%) for IV (n = 1,247), 0.86% (95% CI, 0.23%–3.11%) for IO (n = 2,190), 0.74% (95% CI, 0.28%–1.95%) for topical (n = 559), and 0.35% (95% CI, 0.08%–1.45%) for control (n = 1,763). Findings are summarized in </w:t>
      </w:r>
      <w:r w:rsidR="00C326B0">
        <w:rPr>
          <w:rFonts w:ascii="Arial" w:hAnsi="Arial" w:cs="Arial"/>
          <w:b/>
          <w:bCs/>
          <w:sz w:val="22"/>
          <w:szCs w:val="22"/>
        </w:rPr>
        <w:t>t</w:t>
      </w:r>
      <w:r w:rsidRPr="008259ED">
        <w:rPr>
          <w:rFonts w:ascii="Arial" w:hAnsi="Arial" w:cs="Arial"/>
          <w:b/>
          <w:bCs/>
          <w:sz w:val="22"/>
          <w:szCs w:val="22"/>
        </w:rPr>
        <w:t>ables 4</w:t>
      </w:r>
      <w:r w:rsidR="007E7478">
        <w:rPr>
          <w:rFonts w:ascii="Arial" w:hAnsi="Arial" w:cs="Arial"/>
          <w:b/>
          <w:bCs/>
          <w:sz w:val="22"/>
          <w:szCs w:val="22"/>
        </w:rPr>
        <w:t xml:space="preserve"> and supplementary figure 1,5</w:t>
      </w:r>
      <w:r w:rsidRPr="008259ED">
        <w:rPr>
          <w:rFonts w:ascii="Arial" w:hAnsi="Arial" w:cs="Arial"/>
          <w:b/>
          <w:bCs/>
          <w:sz w:val="22"/>
          <w:szCs w:val="22"/>
        </w:rPr>
        <w:t>.</w:t>
      </w:r>
    </w:p>
    <w:p w14:paraId="33AD8C86" w14:textId="179D87EE" w:rsidR="006E0588" w:rsidRPr="007A2CE7" w:rsidRDefault="006E0588" w:rsidP="004F09E5">
      <w:pPr>
        <w:spacing w:before="240" w:after="240" w:line="360" w:lineRule="auto"/>
        <w:jc w:val="both"/>
        <w:rPr>
          <w:rFonts w:ascii="Arial" w:eastAsia="Times New Roman" w:hAnsi="Arial" w:cs="Arial"/>
          <w:kern w:val="0"/>
          <w:sz w:val="22"/>
          <w:szCs w:val="22"/>
          <w14:ligatures w14:val="none"/>
        </w:rPr>
      </w:pPr>
      <w:r w:rsidRPr="007A2CE7">
        <w:rPr>
          <w:rFonts w:ascii="Arial" w:eastAsia="Times New Roman" w:hAnsi="Arial" w:cs="Arial"/>
          <w:i/>
          <w:iCs/>
          <w:color w:val="131314"/>
          <w:kern w:val="0"/>
          <w:sz w:val="22"/>
          <w:szCs w:val="22"/>
          <w:shd w:val="clear" w:color="auto" w:fill="FFFFFF"/>
          <w14:ligatures w14:val="none"/>
        </w:rPr>
        <w:t>Sensitivity Analysis</w:t>
      </w:r>
    </w:p>
    <w:p w14:paraId="76B6B236" w14:textId="4181B98C" w:rsidR="008259ED" w:rsidRPr="008259ED" w:rsidRDefault="008259ED" w:rsidP="008259ED">
      <w:pPr>
        <w:spacing w:before="240" w:after="240" w:line="360" w:lineRule="auto"/>
        <w:rPr>
          <w:rFonts w:ascii="Arial" w:eastAsia="Times New Roman" w:hAnsi="Arial" w:cs="Arial"/>
          <w:color w:val="000000" w:themeColor="text1"/>
          <w:kern w:val="0"/>
          <w:sz w:val="22"/>
          <w:szCs w:val="22"/>
          <w:shd w:val="clear" w:color="auto" w:fill="FFFFFF"/>
          <w14:ligatures w14:val="none"/>
        </w:rPr>
      </w:pPr>
      <w:r w:rsidRPr="008259ED">
        <w:rPr>
          <w:rFonts w:ascii="Arial" w:eastAsia="Times New Roman" w:hAnsi="Arial" w:cs="Arial"/>
          <w:color w:val="000000" w:themeColor="text1"/>
          <w:kern w:val="0"/>
          <w:sz w:val="22"/>
          <w:szCs w:val="22"/>
          <w:shd w:val="clear" w:color="auto" w:fill="FFFFFF"/>
          <w14:ligatures w14:val="none"/>
        </w:rPr>
        <w:t>Leave-one-out sensitivity analyses were performed for all pooled outcomes to assess the influence of individual studies. Sequential removal of studies did not materially alter the direction, magnitude, or statistical significance of the primary pooled findings, and no single study disproportionately influenced the overall conclusions. For outcomes with substantial heterogeneity, including postoperative infection outcomes and serum vancomycin concentrations, pooled estimates remained stable after exclusion of individual studies, although heterogeneity remained high. Small-study effects were assessed visually using funnel plots; Egger's regression testing was not performed given the limited number of included studies. Exploratory trim-and-fill analyses did not identify substantial changes to pooled estimates.</w:t>
      </w:r>
    </w:p>
    <w:p w14:paraId="60DBCCC5" w14:textId="3AF06E3E" w:rsidR="007D5A54" w:rsidRPr="007A2CE7" w:rsidRDefault="006E0588" w:rsidP="004F09E5">
      <w:pPr>
        <w:spacing w:before="240" w:after="240" w:line="360" w:lineRule="auto"/>
        <w:rPr>
          <w:rFonts w:ascii="Arial" w:eastAsia="Times New Roman" w:hAnsi="Arial" w:cs="Arial"/>
          <w:b/>
          <w:bCs/>
          <w:color w:val="1B1B1B"/>
          <w:kern w:val="0"/>
          <w:sz w:val="22"/>
          <w:szCs w:val="22"/>
          <w:shd w:val="clear" w:color="auto" w:fill="FFFFFF"/>
          <w14:ligatures w14:val="none"/>
        </w:rPr>
      </w:pPr>
      <w:r w:rsidRPr="007A2CE7">
        <w:rPr>
          <w:rFonts w:ascii="Arial" w:eastAsia="Times New Roman" w:hAnsi="Arial" w:cs="Arial"/>
          <w:b/>
          <w:bCs/>
          <w:color w:val="1B1B1B"/>
          <w:kern w:val="0"/>
          <w:sz w:val="22"/>
          <w:szCs w:val="22"/>
          <w:shd w:val="clear" w:color="auto" w:fill="FFFFFF"/>
          <w14:ligatures w14:val="none"/>
        </w:rPr>
        <w:t xml:space="preserve">Discussion  </w:t>
      </w:r>
      <w:r w:rsidRPr="007A2CE7">
        <w:rPr>
          <w:rFonts w:ascii="Arial" w:eastAsia="Times New Roman" w:hAnsi="Arial" w:cs="Arial"/>
          <w:b/>
          <w:bCs/>
          <w:color w:val="1B1B1B"/>
          <w:kern w:val="0"/>
          <w:sz w:val="22"/>
          <w:szCs w:val="22"/>
          <w:shd w:val="clear" w:color="auto" w:fill="FFFFFF"/>
          <w14:ligatures w14:val="none"/>
        </w:rPr>
        <w:tab/>
      </w:r>
    </w:p>
    <w:p w14:paraId="71149634" w14:textId="00A4E7FC" w:rsidR="008259ED" w:rsidRDefault="008259ED" w:rsidP="007B2CBC">
      <w:pPr>
        <w:spacing w:before="240" w:after="240" w:line="360" w:lineRule="auto"/>
        <w:ind w:firstLine="720"/>
        <w:rPr>
          <w:rFonts w:ascii="Arial" w:eastAsia="Times New Roman" w:hAnsi="Arial" w:cs="Arial"/>
          <w:color w:val="1B1B1B"/>
          <w:kern w:val="0"/>
          <w:sz w:val="22"/>
          <w:szCs w:val="22"/>
          <w:shd w:val="clear" w:color="auto" w:fill="FFFFFF"/>
          <w14:ligatures w14:val="none"/>
        </w:rPr>
      </w:pPr>
      <w:r w:rsidRPr="008259ED">
        <w:rPr>
          <w:rFonts w:ascii="Arial" w:eastAsia="Times New Roman" w:hAnsi="Arial" w:cs="Arial"/>
          <w:color w:val="1B1B1B"/>
          <w:kern w:val="0"/>
          <w:sz w:val="22"/>
          <w:szCs w:val="22"/>
          <w:shd w:val="clear" w:color="auto" w:fill="FFFFFF"/>
          <w14:ligatures w14:val="none"/>
        </w:rPr>
        <w:t>The use of vancomycin for infection prophylaxis in TKA remains debated amid growing concerns about MRSA and antimicrobial resistance [5–7]. In this meta-analysis of 18 studies (</w:t>
      </w:r>
      <w:r w:rsidR="007B2CBC" w:rsidRPr="00161A20">
        <w:rPr>
          <w:rFonts w:ascii="Arial" w:eastAsia="Times New Roman" w:hAnsi="Arial" w:cs="Arial"/>
          <w:color w:val="000000" w:themeColor="text1"/>
          <w:kern w:val="0"/>
          <w:sz w:val="22"/>
          <w:szCs w:val="22"/>
          <w:shd w:val="clear" w:color="auto" w:fill="FFFFFF"/>
          <w14:ligatures w14:val="none"/>
        </w:rPr>
        <w:t xml:space="preserve">15,591 </w:t>
      </w:r>
      <w:r w:rsidRPr="008259ED">
        <w:rPr>
          <w:rFonts w:ascii="Arial" w:eastAsia="Times New Roman" w:hAnsi="Arial" w:cs="Arial"/>
          <w:color w:val="1B1B1B"/>
          <w:kern w:val="0"/>
          <w:sz w:val="22"/>
          <w:szCs w:val="22"/>
          <w:shd w:val="clear" w:color="auto" w:fill="FFFFFF"/>
          <w14:ligatures w14:val="none"/>
        </w:rPr>
        <w:t xml:space="preserve"> patients), vancomycin administration route was associated with clinically meaningful, route-dependent differences in postoperative outcomes. IO administration had the lowest pooled 90-day PJI incidence (0.50%; 95% CI, 0.27%–0.93%), while IV administration had both the highest pooled PJI incidence among vancomycin routes (1.55%; 95% CI, 0.98%–2.42%) and the highest pooled 30-day AKI incidence (1.52%; 95% CI, 1.12%–2.05%). SSI, reoperation, and VTE did not differ significantly by route, and topical vancomycin powder was not associated with reduced PJI or SSI relative to control. These findings support growing evidence that targeted, regional antibiotic delivery may offer an efficacy advantage over systemic administration without added systemic risk [11,20].</w:t>
      </w:r>
    </w:p>
    <w:p w14:paraId="3D58E8E3" w14:textId="77777777" w:rsidR="008259ED" w:rsidRDefault="008259ED" w:rsidP="008259ED">
      <w:pPr>
        <w:spacing w:before="240" w:after="240" w:line="360" w:lineRule="auto"/>
        <w:ind w:firstLine="720"/>
        <w:rPr>
          <w:rFonts w:ascii="Arial" w:eastAsia="Times New Roman" w:hAnsi="Arial" w:cs="Arial"/>
          <w:color w:val="1B1B1B"/>
          <w:kern w:val="0"/>
          <w:sz w:val="22"/>
          <w:szCs w:val="22"/>
          <w:shd w:val="clear" w:color="auto" w:fill="FFFFFF"/>
          <w14:ligatures w14:val="none"/>
        </w:rPr>
      </w:pPr>
      <w:r w:rsidRPr="008259ED">
        <w:rPr>
          <w:rFonts w:ascii="Arial" w:eastAsia="Times New Roman" w:hAnsi="Arial" w:cs="Arial"/>
          <w:color w:val="1B1B1B"/>
          <w:kern w:val="0"/>
          <w:sz w:val="22"/>
          <w:szCs w:val="22"/>
          <w:shd w:val="clear" w:color="auto" w:fill="FFFFFF"/>
          <w14:ligatures w14:val="none"/>
        </w:rPr>
        <w:t xml:space="preserve">Mechanistic and pharmacokinetic data support these IO findings. Randomized trials have demonstrated markedly higher periarticular tissue concentrations with low-dose IO than IV delivery, including in high-BMI patients [9,20], and a murine TKA model showed IO delivery of </w:t>
      </w:r>
      <w:r w:rsidRPr="008259ED">
        <w:rPr>
          <w:rFonts w:ascii="Arial" w:eastAsia="Times New Roman" w:hAnsi="Arial" w:cs="Arial"/>
          <w:color w:val="1B1B1B"/>
          <w:kern w:val="0"/>
          <w:sz w:val="22"/>
          <w:szCs w:val="22"/>
          <w:shd w:val="clear" w:color="auto" w:fill="FFFFFF"/>
          <w14:ligatures w14:val="none"/>
        </w:rPr>
        <w:lastRenderedPageBreak/>
        <w:t>cefazolin and vancomycin reduced periprosthetic bacterial burden more effectively than equivalent IV dosing [37]. Expanding literature similarly shows lower PJI rates with IO versus IV prophylaxis in primary and revision TKA, without added vancomycin-related complications [28,38,39]. The lower AKI incidence with IO relative to IV is consistent with these mechanisms, as IO delivery uses a substantially lower total dose (typically 500 mg) under tourniquet control, limiting systemic exposure [40,41]—clinically relevant given evidence that adding vancomycin to cefazolin nearly doubles AKI risk without a clear infection-prevention benefit [42,43]. This suggests vancomycin's risk-benefit profile depends not only on use, but route. IV vancomycin's relatively unfavorable performance here is consistent with mixed evidence in the literature, including the multicenter ASAP trial, which found no SSI benefit from added vancomycin in MRSA-negative patients, further questioning its routine use [44,45].</w:t>
      </w:r>
    </w:p>
    <w:p w14:paraId="138AB5D0" w14:textId="77777777" w:rsidR="008259ED" w:rsidRDefault="008259ED" w:rsidP="008259ED">
      <w:pPr>
        <w:spacing w:before="240" w:after="240" w:line="360" w:lineRule="auto"/>
        <w:ind w:firstLine="720"/>
        <w:rPr>
          <w:rFonts w:ascii="Arial" w:eastAsia="Times New Roman" w:hAnsi="Arial" w:cs="Arial"/>
          <w:color w:val="1B1B1B"/>
          <w:kern w:val="0"/>
          <w:sz w:val="22"/>
          <w:szCs w:val="22"/>
          <w:shd w:val="clear" w:color="auto" w:fill="FFFFFF"/>
          <w14:ligatures w14:val="none"/>
        </w:rPr>
      </w:pPr>
      <w:r w:rsidRPr="008259ED">
        <w:rPr>
          <w:rFonts w:ascii="Arial" w:eastAsia="Times New Roman" w:hAnsi="Arial" w:cs="Arial"/>
          <w:color w:val="1B1B1B"/>
          <w:kern w:val="0"/>
          <w:sz w:val="22"/>
          <w:szCs w:val="22"/>
          <w:shd w:val="clear" w:color="auto" w:fill="FFFFFF"/>
          <w14:ligatures w14:val="none"/>
        </w:rPr>
        <w:t>In contrast to IO, topical vancomycin powder did not reduce PJI or SSI, consistent with heterogeneous evidence in TKA specifically. Earlier series and meta-analyses—often dominated by hip or combined cohorts—reported reduced infection rates with intrawound powder [46,47], but more rigorous TKA-specific studies, including a randomized trial, have failed to replicate this despite demonstrating safety [17,48]. This may reflect passive diffusion into a small cancellous surface versus the larger antibiotic-eluting cement mantle in cemented hip arthroplasty [49]. Low systemic serum concentrations with topical administration are consistent with minimal systemic absorption, supporting a favorable safety profile despite unproven efficacy in TKA. The broader pattern in serum concentrations—highest and most variable with IV, intermediate with IO, lowest with topical—mirrors the intended pharmacokinetic design of each route [20,40], though limited by few studies. VTE was unaffected by route, reinforcing the systemic safety of regional and topical strategies relative to IV administration.</w:t>
      </w:r>
    </w:p>
    <w:p w14:paraId="25EF1A47" w14:textId="5E879C79" w:rsidR="008259ED" w:rsidRDefault="008259ED" w:rsidP="008259ED">
      <w:pPr>
        <w:spacing w:before="240" w:after="240" w:line="360" w:lineRule="auto"/>
        <w:ind w:firstLine="720"/>
        <w:rPr>
          <w:rFonts w:ascii="Arial" w:eastAsia="Times New Roman" w:hAnsi="Arial" w:cs="Arial"/>
          <w:color w:val="1B1B1B"/>
          <w:kern w:val="0"/>
          <w:sz w:val="22"/>
          <w:szCs w:val="22"/>
          <w:shd w:val="clear" w:color="auto" w:fill="FFFFFF"/>
          <w14:ligatures w14:val="none"/>
        </w:rPr>
      </w:pPr>
      <w:r w:rsidRPr="008259ED">
        <w:rPr>
          <w:rFonts w:ascii="Arial" w:eastAsia="Times New Roman" w:hAnsi="Arial" w:cs="Arial"/>
          <w:color w:val="1B1B1B"/>
          <w:kern w:val="0"/>
          <w:sz w:val="22"/>
          <w:szCs w:val="22"/>
          <w:shd w:val="clear" w:color="auto" w:fill="FFFFFF"/>
          <w14:ligatures w14:val="none"/>
        </w:rPr>
        <w:t xml:space="preserve">Overall, IO vancomycin may offer the most favorable balance of infection prevention and systemic safety among the routes evaluated, consistent with its increasing adoption in recent technique and consensus literature [50,51], while routine IV vancomycin appears least favorable and should likely be reserved for specific indications (e.g., β-lactam allergy, MRSA colonization) [6,7,45]. Topical powder appears systemically safe but of uncertain incremental benefit in TKA. These findings warrant caveats: most studies were retrospective, subject to selection and confounding bias, often from staggered adoption or surgeon preference; substantial heterogeneity (I² &gt; 50%) likely reflects variability in dosing, outcome definitions, follow-up, and infection-prevention protocols; low event rates limited subgroup power and precluded mixed modeling; and pharmacokinetic data were limited to few studies. Egger's testing was not </w:t>
      </w:r>
      <w:r w:rsidRPr="008259ED">
        <w:rPr>
          <w:rFonts w:ascii="Arial" w:eastAsia="Times New Roman" w:hAnsi="Arial" w:cs="Arial"/>
          <w:color w:val="1B1B1B"/>
          <w:kern w:val="0"/>
          <w:sz w:val="22"/>
          <w:szCs w:val="22"/>
          <w:shd w:val="clear" w:color="auto" w:fill="FFFFFF"/>
          <w14:ligatures w14:val="none"/>
        </w:rPr>
        <w:lastRenderedPageBreak/>
        <w:t>performed given the limited studies per outcome, and only five randomized trials were available, limiting causal inference from an otherwise largely observational evidence base. Adequately powered, multicenter randomized trials comparing IO, IV, and topical vancomycin are needed to inform evidence-based prophylaxis protocols for primary TKA.</w:t>
      </w:r>
    </w:p>
    <w:p w14:paraId="474C936B" w14:textId="3717C50B" w:rsidR="006E0588" w:rsidRPr="00FA3FE9" w:rsidRDefault="006E0588" w:rsidP="00E35447">
      <w:pPr>
        <w:spacing w:before="240" w:after="240" w:line="360" w:lineRule="auto"/>
        <w:jc w:val="both"/>
        <w:rPr>
          <w:rFonts w:ascii="Arial" w:eastAsia="Times New Roman" w:hAnsi="Arial" w:cs="Arial"/>
          <w:b/>
          <w:bCs/>
          <w:kern w:val="0"/>
          <w:sz w:val="22"/>
          <w:szCs w:val="22"/>
          <w14:ligatures w14:val="none"/>
        </w:rPr>
      </w:pPr>
      <w:r w:rsidRPr="00FA3FE9">
        <w:rPr>
          <w:rFonts w:ascii="Arial" w:eastAsia="Times New Roman" w:hAnsi="Arial" w:cs="Arial"/>
          <w:b/>
          <w:bCs/>
          <w:color w:val="1B1B1B"/>
          <w:kern w:val="0"/>
          <w:sz w:val="22"/>
          <w:szCs w:val="22"/>
          <w:shd w:val="clear" w:color="auto" w:fill="FFFFFF"/>
          <w14:ligatures w14:val="none"/>
        </w:rPr>
        <w:t>Conclusion</w:t>
      </w:r>
    </w:p>
    <w:p w14:paraId="7AACB178" w14:textId="37E67B0B" w:rsidR="00F24112" w:rsidRPr="007A2CE7" w:rsidRDefault="00FA3FE9" w:rsidP="004F09E5">
      <w:pPr>
        <w:spacing w:line="360" w:lineRule="auto"/>
        <w:rPr>
          <w:rFonts w:ascii="Arial" w:hAnsi="Arial" w:cs="Arial"/>
          <w:b/>
          <w:bCs/>
          <w:sz w:val="22"/>
          <w:szCs w:val="22"/>
        </w:rPr>
      </w:pPr>
      <w:r w:rsidRPr="00FA3FE9">
        <w:rPr>
          <w:sz w:val="22"/>
          <w:szCs w:val="22"/>
        </w:rPr>
        <w:t xml:space="preserve">This meta-analysis of 18 studies involving 15,591 primary TKA patients shows that vancomycin administration route is associated with meaningful differences in postoperative infection and safety outcomes. Intraosseous vancomycin was associated with the lowest 90-day PJI rate overall (0.50%; 95% CI, 0.27%–0.93%), while intravenous vancomycin carried the highest PJI (1.55%; 95% CI, 0.98%–2.42%) and AKI (1.52%; 95% CI, 1.12%–2.05%) rates among vancomycin routes. Notably, patients receiving no vancomycin had the highest overall PJI incidence (1.82%; 95% CI, 0.94%–3.50%), </w:t>
      </w:r>
      <w:proofErr w:type="gramStart"/>
      <w:r w:rsidRPr="00FA3FE9">
        <w:rPr>
          <w:sz w:val="22"/>
          <w:szCs w:val="22"/>
        </w:rPr>
        <w:t>exceeding</w:t>
      </w:r>
      <w:proofErr w:type="gramEnd"/>
      <w:r w:rsidRPr="00FA3FE9">
        <w:rPr>
          <w:sz w:val="22"/>
          <w:szCs w:val="22"/>
        </w:rPr>
        <w:t xml:space="preserve"> even the IV group, underscoring a benefit to vancomycin prophylaxis regardless of route. Topical vancomycin powder was not associated with reduced PJI or SSI but showed minimal systemic absorption. SSI, reoperation, and VTE risk did not differ significantly by route. These findings support intraosseous administration as a preferred prophylactic strategy in primary TKA, warranting confirmation in prospective, adequately powered trials.</w:t>
      </w:r>
    </w:p>
    <w:p w14:paraId="7017EB03" w14:textId="77777777" w:rsidR="00161A20" w:rsidRDefault="00161A20" w:rsidP="004F09E5">
      <w:pPr>
        <w:spacing w:line="360" w:lineRule="auto"/>
        <w:rPr>
          <w:rFonts w:ascii="Arial" w:hAnsi="Arial" w:cs="Arial"/>
          <w:b/>
          <w:bCs/>
          <w:sz w:val="22"/>
          <w:szCs w:val="22"/>
        </w:rPr>
      </w:pPr>
    </w:p>
    <w:p w14:paraId="52F9CD95" w14:textId="77777777" w:rsidR="008259ED" w:rsidRDefault="008259ED" w:rsidP="004F09E5">
      <w:pPr>
        <w:spacing w:line="360" w:lineRule="auto"/>
        <w:rPr>
          <w:rFonts w:ascii="Arial" w:hAnsi="Arial" w:cs="Arial"/>
          <w:b/>
          <w:bCs/>
          <w:sz w:val="22"/>
          <w:szCs w:val="22"/>
        </w:rPr>
      </w:pPr>
    </w:p>
    <w:p w14:paraId="29FC892B" w14:textId="77777777" w:rsidR="008259ED" w:rsidRDefault="008259ED" w:rsidP="004F09E5">
      <w:pPr>
        <w:spacing w:line="360" w:lineRule="auto"/>
        <w:rPr>
          <w:rFonts w:ascii="Arial" w:hAnsi="Arial" w:cs="Arial"/>
          <w:b/>
          <w:bCs/>
          <w:sz w:val="22"/>
          <w:szCs w:val="22"/>
        </w:rPr>
      </w:pPr>
    </w:p>
    <w:p w14:paraId="2E5DF33D" w14:textId="77777777" w:rsidR="007A2CE7" w:rsidRDefault="007A2CE7" w:rsidP="004F09E5">
      <w:pPr>
        <w:spacing w:line="360" w:lineRule="auto"/>
        <w:rPr>
          <w:rFonts w:ascii="Arial" w:hAnsi="Arial" w:cs="Arial"/>
          <w:b/>
          <w:bCs/>
          <w:sz w:val="22"/>
          <w:szCs w:val="22"/>
        </w:rPr>
      </w:pPr>
    </w:p>
    <w:p w14:paraId="7A7DCF81" w14:textId="77777777" w:rsidR="00671960" w:rsidRDefault="00671960" w:rsidP="004F09E5">
      <w:pPr>
        <w:spacing w:line="360" w:lineRule="auto"/>
        <w:rPr>
          <w:rFonts w:ascii="Arial" w:hAnsi="Arial" w:cs="Arial"/>
          <w:b/>
          <w:bCs/>
          <w:sz w:val="22"/>
          <w:szCs w:val="22"/>
        </w:rPr>
      </w:pPr>
    </w:p>
    <w:p w14:paraId="5F9C4C47" w14:textId="77777777" w:rsidR="00671960" w:rsidRDefault="00671960" w:rsidP="004F09E5">
      <w:pPr>
        <w:spacing w:line="360" w:lineRule="auto"/>
        <w:rPr>
          <w:rFonts w:ascii="Arial" w:hAnsi="Arial" w:cs="Arial"/>
          <w:b/>
          <w:bCs/>
          <w:sz w:val="22"/>
          <w:szCs w:val="22"/>
        </w:rPr>
      </w:pPr>
    </w:p>
    <w:p w14:paraId="423D4C1D" w14:textId="77777777" w:rsidR="00671960" w:rsidRDefault="00671960" w:rsidP="004F09E5">
      <w:pPr>
        <w:spacing w:line="360" w:lineRule="auto"/>
        <w:rPr>
          <w:rFonts w:ascii="Arial" w:hAnsi="Arial" w:cs="Arial"/>
          <w:b/>
          <w:bCs/>
          <w:sz w:val="22"/>
          <w:szCs w:val="22"/>
        </w:rPr>
      </w:pPr>
    </w:p>
    <w:p w14:paraId="5648BB9A" w14:textId="77777777" w:rsidR="00671960" w:rsidRDefault="00671960" w:rsidP="004F09E5">
      <w:pPr>
        <w:spacing w:line="360" w:lineRule="auto"/>
        <w:rPr>
          <w:rFonts w:ascii="Arial" w:hAnsi="Arial" w:cs="Arial"/>
          <w:b/>
          <w:bCs/>
          <w:sz w:val="22"/>
          <w:szCs w:val="22"/>
        </w:rPr>
      </w:pPr>
    </w:p>
    <w:p w14:paraId="0F4BE038" w14:textId="77777777" w:rsidR="00FA3FE9" w:rsidRDefault="00FA3FE9" w:rsidP="004F09E5">
      <w:pPr>
        <w:spacing w:line="360" w:lineRule="auto"/>
        <w:rPr>
          <w:rFonts w:ascii="Arial" w:hAnsi="Arial" w:cs="Arial"/>
          <w:b/>
          <w:bCs/>
          <w:sz w:val="22"/>
          <w:szCs w:val="22"/>
        </w:rPr>
      </w:pPr>
    </w:p>
    <w:p w14:paraId="2BF98982" w14:textId="77777777" w:rsidR="00FA3FE9" w:rsidRDefault="00FA3FE9" w:rsidP="004F09E5">
      <w:pPr>
        <w:spacing w:line="360" w:lineRule="auto"/>
        <w:rPr>
          <w:rFonts w:ascii="Arial" w:hAnsi="Arial" w:cs="Arial"/>
          <w:b/>
          <w:bCs/>
          <w:sz w:val="22"/>
          <w:szCs w:val="22"/>
        </w:rPr>
      </w:pPr>
    </w:p>
    <w:p w14:paraId="4D9EEF55" w14:textId="77777777" w:rsidR="00161A20" w:rsidRPr="007A2CE7" w:rsidRDefault="00161A20" w:rsidP="004F09E5">
      <w:pPr>
        <w:spacing w:line="360" w:lineRule="auto"/>
        <w:rPr>
          <w:rFonts w:ascii="Arial" w:hAnsi="Arial" w:cs="Arial"/>
          <w:b/>
          <w:bCs/>
          <w:sz w:val="22"/>
          <w:szCs w:val="22"/>
        </w:rPr>
      </w:pPr>
    </w:p>
    <w:p w14:paraId="7C64AD51" w14:textId="24484AAD" w:rsidR="00C86D35" w:rsidRPr="007A2CE7" w:rsidRDefault="008A3D5F" w:rsidP="004F09E5">
      <w:pPr>
        <w:spacing w:line="360" w:lineRule="auto"/>
        <w:rPr>
          <w:rFonts w:ascii="Arial" w:hAnsi="Arial" w:cs="Arial"/>
          <w:b/>
          <w:bCs/>
          <w:sz w:val="22"/>
          <w:szCs w:val="22"/>
        </w:rPr>
      </w:pPr>
      <w:r w:rsidRPr="007A2CE7">
        <w:rPr>
          <w:rFonts w:ascii="Arial" w:hAnsi="Arial" w:cs="Arial"/>
          <w:b/>
          <w:bCs/>
          <w:sz w:val="22"/>
          <w:szCs w:val="22"/>
        </w:rPr>
        <w:lastRenderedPageBreak/>
        <w:t>References:</w:t>
      </w:r>
    </w:p>
    <w:p w14:paraId="7AAE9C96"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Patel R. Periprosthetic Joint Infection. N Engl J Med. 2023;388(3):251-262. doi:10.1056/NEJMra2203477. </w:t>
      </w:r>
    </w:p>
    <w:p w14:paraId="6FE7DB7A"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Pulido L, Ghanem E, Joshi A, Purtill JJ, Parvizi J. Periprosthetic joint infection: the incidence, timing, and predisposing factors. Clin </w:t>
      </w:r>
      <w:proofErr w:type="spellStart"/>
      <w:r w:rsidRPr="007A2CE7">
        <w:rPr>
          <w:rFonts w:ascii="Arial" w:hAnsi="Arial" w:cs="Arial"/>
          <w:sz w:val="22"/>
          <w:szCs w:val="22"/>
        </w:rPr>
        <w:t>Orthop</w:t>
      </w:r>
      <w:proofErr w:type="spellEnd"/>
      <w:r w:rsidRPr="007A2CE7">
        <w:rPr>
          <w:rFonts w:ascii="Arial" w:hAnsi="Arial" w:cs="Arial"/>
          <w:sz w:val="22"/>
          <w:szCs w:val="22"/>
        </w:rPr>
        <w:t xml:space="preserve"> </w:t>
      </w:r>
      <w:proofErr w:type="spellStart"/>
      <w:r w:rsidRPr="007A2CE7">
        <w:rPr>
          <w:rFonts w:ascii="Arial" w:hAnsi="Arial" w:cs="Arial"/>
          <w:sz w:val="22"/>
          <w:szCs w:val="22"/>
        </w:rPr>
        <w:t>Relat</w:t>
      </w:r>
      <w:proofErr w:type="spellEnd"/>
      <w:r w:rsidRPr="007A2CE7">
        <w:rPr>
          <w:rFonts w:ascii="Arial" w:hAnsi="Arial" w:cs="Arial"/>
          <w:sz w:val="22"/>
          <w:szCs w:val="22"/>
        </w:rPr>
        <w:t xml:space="preserve"> Res. 2008;466:1710-1715. doi:10.1007/s11999-008-0209-4. </w:t>
      </w:r>
    </w:p>
    <w:p w14:paraId="0813EAAB"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Villa JM, Rajschmir K, Lin S, Higuera-Rueda CA. What is the true impact of periprosthetic joint infection diagnosis on mortality? J Arthroplasty. 2024;39:S410-S414. doi:10.1016/j.arth.2024.03.052. </w:t>
      </w:r>
    </w:p>
    <w:p w14:paraId="44912B03"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Peel TN, Astbury S, Cheng AC, et al. Trial of vancomycin and cefazolin as surgical prophylaxis in arthroplasty. N Engl J Med. 2023;389(16):1488-1498. doi:10.1056/NEJMoa2301401. </w:t>
      </w:r>
    </w:p>
    <w:p w14:paraId="6B5EA934"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Weinstein EJ, Stephens-Shields AJ, Newcomb CW, et al. Incidence, microbiological studies, and factors associated with prosthetic joint infection after total knee arthroplasty. JAMA </w:t>
      </w:r>
      <w:proofErr w:type="spellStart"/>
      <w:r w:rsidRPr="007A2CE7">
        <w:rPr>
          <w:rFonts w:ascii="Arial" w:hAnsi="Arial" w:cs="Arial"/>
          <w:sz w:val="22"/>
          <w:szCs w:val="22"/>
        </w:rPr>
        <w:t>Netw</w:t>
      </w:r>
      <w:proofErr w:type="spellEnd"/>
      <w:r w:rsidRPr="007A2CE7">
        <w:rPr>
          <w:rFonts w:ascii="Arial" w:hAnsi="Arial" w:cs="Arial"/>
          <w:sz w:val="22"/>
          <w:szCs w:val="22"/>
        </w:rPr>
        <w:t xml:space="preserve"> Open. 2023;6(10):e2340457. doi:10.1001/jamanetworkopen.2023.40457. </w:t>
      </w:r>
    </w:p>
    <w:p w14:paraId="07D9D303" w14:textId="77777777" w:rsidR="007A2CE7" w:rsidRPr="007A2CE7" w:rsidRDefault="007A2CE7" w:rsidP="007A2CE7">
      <w:pPr>
        <w:pStyle w:val="ListParagraph"/>
        <w:numPr>
          <w:ilvl w:val="0"/>
          <w:numId w:val="22"/>
        </w:numPr>
        <w:rPr>
          <w:rFonts w:ascii="Arial" w:hAnsi="Arial" w:cs="Arial"/>
          <w:sz w:val="22"/>
          <w:szCs w:val="22"/>
        </w:rPr>
      </w:pPr>
      <w:proofErr w:type="spellStart"/>
      <w:r w:rsidRPr="007A2CE7">
        <w:rPr>
          <w:rFonts w:ascii="Arial" w:hAnsi="Arial" w:cs="Arial"/>
          <w:sz w:val="22"/>
          <w:szCs w:val="22"/>
        </w:rPr>
        <w:t>Bratzler</w:t>
      </w:r>
      <w:proofErr w:type="spellEnd"/>
      <w:r w:rsidRPr="007A2CE7">
        <w:rPr>
          <w:rFonts w:ascii="Arial" w:hAnsi="Arial" w:cs="Arial"/>
          <w:sz w:val="22"/>
          <w:szCs w:val="22"/>
        </w:rPr>
        <w:t xml:space="preserve"> DW, Dellinger EP, Olsen KM, et al. Clinical practice guidelines for antimicrobial prophylaxis in surgery. Am J Health Syst Pharm. 2013;70(3):195-283. doi:10.2146/ajhp120568. </w:t>
      </w:r>
    </w:p>
    <w:p w14:paraId="420B20B3"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Rodriguez-Merchan EC, Delgado-Martinez AD. Risk factors for periprosthetic joint infection after primary total knee arthroplasty. J Clin Med. 2022;11(20):6128. doi:10.3390/jcm11206128. </w:t>
      </w:r>
    </w:p>
    <w:p w14:paraId="1938D0B8"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Yang C, Peng C, Yan J, Chen J, Mao H. Cefazolin alone versus vancomycin plus cefazolin for intravenous prophylaxis in hip and knee arthroplasty: a systematic review and meta-analysis. J Arthroplasty. 2026;S0883-5403(26)00398-0. doi:10.1016/j.arth.2026.04.060. </w:t>
      </w:r>
    </w:p>
    <w:p w14:paraId="4BDFC05C"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Young SW, Zhang M, Freeman JT, Mutu-Grigg J, Pavlou P, Moore GA. The Mark Coventry Award: higher tissue concentrations of vancomycin with low-dose intraosseous regional versus systemic prophylaxis in TKA: a randomized trial. Clin </w:t>
      </w:r>
      <w:proofErr w:type="spellStart"/>
      <w:r w:rsidRPr="007A2CE7">
        <w:rPr>
          <w:rFonts w:ascii="Arial" w:hAnsi="Arial" w:cs="Arial"/>
          <w:sz w:val="22"/>
          <w:szCs w:val="22"/>
        </w:rPr>
        <w:t>Orthop</w:t>
      </w:r>
      <w:proofErr w:type="spellEnd"/>
      <w:r w:rsidRPr="007A2CE7">
        <w:rPr>
          <w:rFonts w:ascii="Arial" w:hAnsi="Arial" w:cs="Arial"/>
          <w:sz w:val="22"/>
          <w:szCs w:val="22"/>
        </w:rPr>
        <w:t xml:space="preserve"> </w:t>
      </w:r>
      <w:proofErr w:type="spellStart"/>
      <w:r w:rsidRPr="007A2CE7">
        <w:rPr>
          <w:rFonts w:ascii="Arial" w:hAnsi="Arial" w:cs="Arial"/>
          <w:sz w:val="22"/>
          <w:szCs w:val="22"/>
        </w:rPr>
        <w:t>Relat</w:t>
      </w:r>
      <w:proofErr w:type="spellEnd"/>
      <w:r w:rsidRPr="007A2CE7">
        <w:rPr>
          <w:rFonts w:ascii="Arial" w:hAnsi="Arial" w:cs="Arial"/>
          <w:sz w:val="22"/>
          <w:szCs w:val="22"/>
        </w:rPr>
        <w:t xml:space="preserve"> Res. 2014;472:57-65. doi:10.1007/s11999-013-3038-z. </w:t>
      </w:r>
    </w:p>
    <w:p w14:paraId="7F6009C5"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Park KJ, Chapleau J, Sullivan TC, Clyburn TA, </w:t>
      </w:r>
      <w:proofErr w:type="spellStart"/>
      <w:r w:rsidRPr="007A2CE7">
        <w:rPr>
          <w:rFonts w:ascii="Arial" w:hAnsi="Arial" w:cs="Arial"/>
          <w:sz w:val="22"/>
          <w:szCs w:val="22"/>
        </w:rPr>
        <w:t>Incavo</w:t>
      </w:r>
      <w:proofErr w:type="spellEnd"/>
      <w:r w:rsidRPr="007A2CE7">
        <w:rPr>
          <w:rFonts w:ascii="Arial" w:hAnsi="Arial" w:cs="Arial"/>
          <w:sz w:val="22"/>
          <w:szCs w:val="22"/>
        </w:rPr>
        <w:t xml:space="preserve"> SJ. 2021 Chitranjan S. Ranawat Award: intraosseous vancomycin reduces periprosthetic joint infection in primary total knee arthroplasty at 90-day follow-up. Bone Joint J. 2021;103-B(6 Suppl A):13-17. doi:10.1302/0301-620X.103B6.BJJ-2020-2401.R1. </w:t>
      </w:r>
    </w:p>
    <w:p w14:paraId="2B8685F0"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Yu M, Wei Z, Yang X, et al. Safety and effectiveness of intraosseous regional prophylactic antibiotics in total knee arthroplasty: a systematic review and meta-analysis. Arch </w:t>
      </w:r>
      <w:proofErr w:type="spellStart"/>
      <w:r w:rsidRPr="007A2CE7">
        <w:rPr>
          <w:rFonts w:ascii="Arial" w:hAnsi="Arial" w:cs="Arial"/>
          <w:sz w:val="22"/>
          <w:szCs w:val="22"/>
        </w:rPr>
        <w:t>Orthop</w:t>
      </w:r>
      <w:proofErr w:type="spellEnd"/>
      <w:r w:rsidRPr="007A2CE7">
        <w:rPr>
          <w:rFonts w:ascii="Arial" w:hAnsi="Arial" w:cs="Arial"/>
          <w:sz w:val="22"/>
          <w:szCs w:val="22"/>
        </w:rPr>
        <w:t xml:space="preserve"> Trauma Surg. 2024;144(9):4233-4245. doi:10.1007/s00402-024-05513-0. </w:t>
      </w:r>
    </w:p>
    <w:p w14:paraId="29D9C2CF"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Vosoughi F, Seyedi D, Rahnama P, et al. Intraosseous vancomycin results in lower superficial and deep infection rate compared with alternative intravenous methods in total knee arthroplasty: a time-stratified meta-analysis. Knee. 2026;61:104443. doi:10.1016/j.knee.2026.104443. </w:t>
      </w:r>
    </w:p>
    <w:p w14:paraId="1034A549"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Wong MT, Sridharan SS, Davison EM, Ng R, Desy NM. Can topical vancomycin prevent periprosthetic joint infection in hip and knee arthroplasty? A systematic review. Clin </w:t>
      </w:r>
      <w:proofErr w:type="spellStart"/>
      <w:r w:rsidRPr="007A2CE7">
        <w:rPr>
          <w:rFonts w:ascii="Arial" w:hAnsi="Arial" w:cs="Arial"/>
          <w:sz w:val="22"/>
          <w:szCs w:val="22"/>
        </w:rPr>
        <w:t>Orthop</w:t>
      </w:r>
      <w:proofErr w:type="spellEnd"/>
      <w:r w:rsidRPr="007A2CE7">
        <w:rPr>
          <w:rFonts w:ascii="Arial" w:hAnsi="Arial" w:cs="Arial"/>
          <w:sz w:val="22"/>
          <w:szCs w:val="22"/>
        </w:rPr>
        <w:t xml:space="preserve"> </w:t>
      </w:r>
      <w:proofErr w:type="spellStart"/>
      <w:r w:rsidRPr="007A2CE7">
        <w:rPr>
          <w:rFonts w:ascii="Arial" w:hAnsi="Arial" w:cs="Arial"/>
          <w:sz w:val="22"/>
          <w:szCs w:val="22"/>
        </w:rPr>
        <w:t>Relat</w:t>
      </w:r>
      <w:proofErr w:type="spellEnd"/>
      <w:r w:rsidRPr="007A2CE7">
        <w:rPr>
          <w:rFonts w:ascii="Arial" w:hAnsi="Arial" w:cs="Arial"/>
          <w:sz w:val="22"/>
          <w:szCs w:val="22"/>
        </w:rPr>
        <w:t xml:space="preserve"> Res. 2021;479(8):1655-1664. doi:10.1097/CORR.0000000000001777. </w:t>
      </w:r>
    </w:p>
    <w:p w14:paraId="6D2A6385" w14:textId="77777777" w:rsidR="007A2CE7" w:rsidRPr="007A2CE7" w:rsidRDefault="007A2CE7" w:rsidP="007A2CE7">
      <w:pPr>
        <w:pStyle w:val="ListParagraph"/>
        <w:numPr>
          <w:ilvl w:val="0"/>
          <w:numId w:val="22"/>
        </w:numPr>
        <w:rPr>
          <w:rFonts w:ascii="Arial" w:hAnsi="Arial" w:cs="Arial"/>
          <w:sz w:val="22"/>
          <w:szCs w:val="22"/>
        </w:rPr>
      </w:pPr>
      <w:proofErr w:type="spellStart"/>
      <w:r w:rsidRPr="007A2CE7">
        <w:rPr>
          <w:rFonts w:ascii="Arial" w:hAnsi="Arial" w:cs="Arial"/>
          <w:sz w:val="22"/>
          <w:szCs w:val="22"/>
        </w:rPr>
        <w:lastRenderedPageBreak/>
        <w:t>Mulpur</w:t>
      </w:r>
      <w:proofErr w:type="spellEnd"/>
      <w:r w:rsidRPr="007A2CE7">
        <w:rPr>
          <w:rFonts w:ascii="Arial" w:hAnsi="Arial" w:cs="Arial"/>
          <w:sz w:val="22"/>
          <w:szCs w:val="22"/>
        </w:rPr>
        <w:t xml:space="preserve"> P, Jayakumar T, </w:t>
      </w:r>
      <w:proofErr w:type="spellStart"/>
      <w:r w:rsidRPr="007A2CE7">
        <w:rPr>
          <w:rFonts w:ascii="Arial" w:hAnsi="Arial" w:cs="Arial"/>
          <w:sz w:val="22"/>
          <w:szCs w:val="22"/>
        </w:rPr>
        <w:t>Yakkanti</w:t>
      </w:r>
      <w:proofErr w:type="spellEnd"/>
      <w:r w:rsidRPr="007A2CE7">
        <w:rPr>
          <w:rFonts w:ascii="Arial" w:hAnsi="Arial" w:cs="Arial"/>
          <w:sz w:val="22"/>
          <w:szCs w:val="22"/>
        </w:rPr>
        <w:t xml:space="preserve"> RR, et al. Efficacy of intrawound vancomycin in prevention of periprosthetic joint infection after primary total knee arthroplasty: a prospective double-blinded randomized controlled trial. J Arthroplasty. 2024;39:1569-1576. doi:10.1016/j.arth.2024.01.003. </w:t>
      </w:r>
    </w:p>
    <w:p w14:paraId="1EEBAC24"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Liberati A, Altman DG, Tetzlaff J, et al. The PRISMA statement for reporting systematic reviews and meta-analyses. </w:t>
      </w:r>
      <w:proofErr w:type="spellStart"/>
      <w:r w:rsidRPr="007A2CE7">
        <w:rPr>
          <w:rFonts w:ascii="Arial" w:hAnsi="Arial" w:cs="Arial"/>
          <w:sz w:val="22"/>
          <w:szCs w:val="22"/>
        </w:rPr>
        <w:t>PLoS</w:t>
      </w:r>
      <w:proofErr w:type="spellEnd"/>
      <w:r w:rsidRPr="007A2CE7">
        <w:rPr>
          <w:rFonts w:ascii="Arial" w:hAnsi="Arial" w:cs="Arial"/>
          <w:sz w:val="22"/>
          <w:szCs w:val="22"/>
        </w:rPr>
        <w:t xml:space="preserve"> Med. 2009;6:e1000100. </w:t>
      </w:r>
    </w:p>
    <w:p w14:paraId="6C68A139"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Moher D, Liberati A, Tetzlaff J, Altman DG. Preferred reporting items for systematic reviews and meta-analyses: the PRISMA statement. </w:t>
      </w:r>
      <w:proofErr w:type="spellStart"/>
      <w:r w:rsidRPr="007A2CE7">
        <w:rPr>
          <w:rFonts w:ascii="Arial" w:hAnsi="Arial" w:cs="Arial"/>
          <w:sz w:val="22"/>
          <w:szCs w:val="22"/>
        </w:rPr>
        <w:t>PLoS</w:t>
      </w:r>
      <w:proofErr w:type="spellEnd"/>
      <w:r w:rsidRPr="007A2CE7">
        <w:rPr>
          <w:rFonts w:ascii="Arial" w:hAnsi="Arial" w:cs="Arial"/>
          <w:sz w:val="22"/>
          <w:szCs w:val="22"/>
        </w:rPr>
        <w:t xml:space="preserve"> Med. 2009;6:e1000097. </w:t>
      </w:r>
    </w:p>
    <w:p w14:paraId="6DABD25C" w14:textId="77777777" w:rsidR="007A2CE7" w:rsidRPr="007A2CE7" w:rsidRDefault="007A2CE7" w:rsidP="007A2CE7">
      <w:pPr>
        <w:pStyle w:val="ListParagraph"/>
        <w:numPr>
          <w:ilvl w:val="0"/>
          <w:numId w:val="22"/>
        </w:numPr>
        <w:rPr>
          <w:rFonts w:ascii="Arial" w:hAnsi="Arial" w:cs="Arial"/>
          <w:sz w:val="22"/>
          <w:szCs w:val="22"/>
        </w:rPr>
      </w:pPr>
      <w:proofErr w:type="spellStart"/>
      <w:r w:rsidRPr="007A2CE7">
        <w:rPr>
          <w:rFonts w:ascii="Arial" w:hAnsi="Arial" w:cs="Arial"/>
          <w:sz w:val="22"/>
          <w:szCs w:val="22"/>
        </w:rPr>
        <w:t>Abuzaiter</w:t>
      </w:r>
      <w:proofErr w:type="spellEnd"/>
      <w:r w:rsidRPr="007A2CE7">
        <w:rPr>
          <w:rFonts w:ascii="Arial" w:hAnsi="Arial" w:cs="Arial"/>
          <w:sz w:val="22"/>
          <w:szCs w:val="22"/>
        </w:rPr>
        <w:t xml:space="preserve"> W, Bolton CA, Drakos A, et al. Is topical vancomycin an option? A randomized controlled trial to determine the safety of the topical use of vancomycin powder in preventing postoperative infections in total knee arthroplasty, as compared with standard postoperative antibiotics. J Arthroplasty. 2023;38:1597-1601. doi:10.1016/j.arth.2023.01.040. </w:t>
      </w:r>
    </w:p>
    <w:p w14:paraId="2B923982"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w:t>
      </w:r>
      <w:proofErr w:type="spellStart"/>
      <w:r w:rsidRPr="007A2CE7">
        <w:rPr>
          <w:rFonts w:ascii="Arial" w:hAnsi="Arial" w:cs="Arial"/>
          <w:sz w:val="22"/>
          <w:szCs w:val="22"/>
        </w:rPr>
        <w:t>Aflatooni</w:t>
      </w:r>
      <w:proofErr w:type="spellEnd"/>
      <w:r w:rsidRPr="007A2CE7">
        <w:rPr>
          <w:rFonts w:ascii="Arial" w:hAnsi="Arial" w:cs="Arial"/>
          <w:sz w:val="22"/>
          <w:szCs w:val="22"/>
        </w:rPr>
        <w:t xml:space="preserve"> JO, </w:t>
      </w:r>
      <w:proofErr w:type="spellStart"/>
      <w:r w:rsidRPr="007A2CE7">
        <w:rPr>
          <w:rFonts w:ascii="Arial" w:hAnsi="Arial" w:cs="Arial"/>
          <w:sz w:val="22"/>
          <w:szCs w:val="22"/>
        </w:rPr>
        <w:t>Wininger</w:t>
      </w:r>
      <w:proofErr w:type="spellEnd"/>
      <w:r w:rsidRPr="007A2CE7">
        <w:rPr>
          <w:rFonts w:ascii="Arial" w:hAnsi="Arial" w:cs="Arial"/>
          <w:sz w:val="22"/>
          <w:szCs w:val="22"/>
        </w:rPr>
        <w:t xml:space="preserve"> AE, Sullivan TC, Clyburn TA, </w:t>
      </w:r>
      <w:proofErr w:type="spellStart"/>
      <w:r w:rsidRPr="007A2CE7">
        <w:rPr>
          <w:rFonts w:ascii="Arial" w:hAnsi="Arial" w:cs="Arial"/>
          <w:sz w:val="22"/>
          <w:szCs w:val="22"/>
        </w:rPr>
        <w:t>Incavo</w:t>
      </w:r>
      <w:proofErr w:type="spellEnd"/>
      <w:r w:rsidRPr="007A2CE7">
        <w:rPr>
          <w:rFonts w:ascii="Arial" w:hAnsi="Arial" w:cs="Arial"/>
          <w:sz w:val="22"/>
          <w:szCs w:val="22"/>
        </w:rPr>
        <w:t xml:space="preserve"> SJ, Brown TS, Park KJ. Intraosseous vancomycin for primary total knee arthroplasty is associated with a lower rate of postoperative acute kidney injury than intravenous vancomycin. J Arthroplasty. 2026. doi:10.1016/j.arth.2026.03.016. </w:t>
      </w:r>
    </w:p>
    <w:p w14:paraId="6077D6B6" w14:textId="77777777" w:rsidR="007A2CE7" w:rsidRPr="007A2CE7" w:rsidRDefault="007A2CE7" w:rsidP="007A2CE7">
      <w:pPr>
        <w:pStyle w:val="ListParagraph"/>
        <w:numPr>
          <w:ilvl w:val="0"/>
          <w:numId w:val="22"/>
        </w:numPr>
        <w:rPr>
          <w:rFonts w:ascii="Arial" w:hAnsi="Arial" w:cs="Arial"/>
          <w:sz w:val="22"/>
          <w:szCs w:val="22"/>
        </w:rPr>
      </w:pPr>
      <w:proofErr w:type="spellStart"/>
      <w:r w:rsidRPr="007A2CE7">
        <w:rPr>
          <w:rFonts w:ascii="Arial" w:hAnsi="Arial" w:cs="Arial"/>
          <w:sz w:val="22"/>
          <w:szCs w:val="22"/>
        </w:rPr>
        <w:t>Aljuhani</w:t>
      </w:r>
      <w:proofErr w:type="spellEnd"/>
      <w:r w:rsidRPr="007A2CE7">
        <w:rPr>
          <w:rFonts w:ascii="Arial" w:hAnsi="Arial" w:cs="Arial"/>
          <w:sz w:val="22"/>
          <w:szCs w:val="22"/>
        </w:rPr>
        <w:t xml:space="preserve"> WS, </w:t>
      </w:r>
      <w:proofErr w:type="spellStart"/>
      <w:r w:rsidRPr="007A2CE7">
        <w:rPr>
          <w:rFonts w:ascii="Arial" w:hAnsi="Arial" w:cs="Arial"/>
          <w:sz w:val="22"/>
          <w:szCs w:val="22"/>
        </w:rPr>
        <w:t>Alanazi</w:t>
      </w:r>
      <w:proofErr w:type="spellEnd"/>
      <w:r w:rsidRPr="007A2CE7">
        <w:rPr>
          <w:rFonts w:ascii="Arial" w:hAnsi="Arial" w:cs="Arial"/>
          <w:sz w:val="22"/>
          <w:szCs w:val="22"/>
        </w:rPr>
        <w:t xml:space="preserve"> AM, </w:t>
      </w:r>
      <w:proofErr w:type="spellStart"/>
      <w:r w:rsidRPr="007A2CE7">
        <w:rPr>
          <w:rFonts w:ascii="Arial" w:hAnsi="Arial" w:cs="Arial"/>
          <w:sz w:val="22"/>
          <w:szCs w:val="22"/>
        </w:rPr>
        <w:t>Alghafees</w:t>
      </w:r>
      <w:proofErr w:type="spellEnd"/>
      <w:r w:rsidRPr="007A2CE7">
        <w:rPr>
          <w:rFonts w:ascii="Arial" w:hAnsi="Arial" w:cs="Arial"/>
          <w:sz w:val="22"/>
          <w:szCs w:val="22"/>
        </w:rPr>
        <w:t xml:space="preserve"> MA, </w:t>
      </w:r>
      <w:proofErr w:type="spellStart"/>
      <w:r w:rsidRPr="007A2CE7">
        <w:rPr>
          <w:rFonts w:ascii="Arial" w:hAnsi="Arial" w:cs="Arial"/>
          <w:sz w:val="22"/>
          <w:szCs w:val="22"/>
        </w:rPr>
        <w:t>Sagor</w:t>
      </w:r>
      <w:proofErr w:type="spellEnd"/>
      <w:r w:rsidRPr="007A2CE7">
        <w:rPr>
          <w:rFonts w:ascii="Arial" w:hAnsi="Arial" w:cs="Arial"/>
          <w:sz w:val="22"/>
          <w:szCs w:val="22"/>
        </w:rPr>
        <w:t xml:space="preserve"> SH, </w:t>
      </w:r>
      <w:proofErr w:type="spellStart"/>
      <w:r w:rsidRPr="007A2CE7">
        <w:rPr>
          <w:rFonts w:ascii="Arial" w:hAnsi="Arial" w:cs="Arial"/>
          <w:sz w:val="22"/>
          <w:szCs w:val="22"/>
        </w:rPr>
        <w:t>Alhandi</w:t>
      </w:r>
      <w:proofErr w:type="spellEnd"/>
      <w:r w:rsidRPr="007A2CE7">
        <w:rPr>
          <w:rFonts w:ascii="Arial" w:hAnsi="Arial" w:cs="Arial"/>
          <w:sz w:val="22"/>
          <w:szCs w:val="22"/>
        </w:rPr>
        <w:t xml:space="preserve"> AA. The efficacy of vancomycin powder in total knee arthroplasty: a single-center study. Saudi Med J. 2021;42:550-554. doi:10.15537/smj.2021.42.5.20210022. </w:t>
      </w:r>
    </w:p>
    <w:p w14:paraId="4DE8C957"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Chin SJ, Moore GA, Zhang M, Clarke HD, </w:t>
      </w:r>
      <w:proofErr w:type="spellStart"/>
      <w:r w:rsidRPr="007A2CE7">
        <w:rPr>
          <w:rFonts w:ascii="Arial" w:hAnsi="Arial" w:cs="Arial"/>
          <w:sz w:val="22"/>
          <w:szCs w:val="22"/>
        </w:rPr>
        <w:t>Spangehl</w:t>
      </w:r>
      <w:proofErr w:type="spellEnd"/>
      <w:r w:rsidRPr="007A2CE7">
        <w:rPr>
          <w:rFonts w:ascii="Arial" w:hAnsi="Arial" w:cs="Arial"/>
          <w:sz w:val="22"/>
          <w:szCs w:val="22"/>
        </w:rPr>
        <w:t xml:space="preserve"> MJ, Young SW. The AAHKS Clinical Research Award: intraosseous regional prophylaxis provides higher tissue concentrations in high BMI patients in total knee arthroplasty: a randomized trial. J Arthroplasty. 2018;33:S13-S18. doi:10.1016/j.arth.2018.03.013. </w:t>
      </w:r>
    </w:p>
    <w:p w14:paraId="2AC7FD2D"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Doxey SA, Urdahl TH, Solaiman RH, Wegner MN, Parikh H, Cunningham BP, Horst PK. Intrawound vancomycin powder in primary total knee arthroplasty: does it reduce early postoperative infection? Knee. 2024;51:312-319. doi:10.1016/j.knee.2024.10.008. </w:t>
      </w:r>
    </w:p>
    <w:p w14:paraId="23904E84" w14:textId="77777777" w:rsidR="007A2CE7" w:rsidRPr="007A2CE7" w:rsidRDefault="007A2CE7" w:rsidP="007A2CE7">
      <w:pPr>
        <w:pStyle w:val="ListParagraph"/>
        <w:numPr>
          <w:ilvl w:val="0"/>
          <w:numId w:val="22"/>
        </w:numPr>
        <w:rPr>
          <w:rFonts w:ascii="Arial" w:hAnsi="Arial" w:cs="Arial"/>
          <w:sz w:val="22"/>
          <w:szCs w:val="22"/>
        </w:rPr>
      </w:pPr>
      <w:proofErr w:type="spellStart"/>
      <w:r w:rsidRPr="007A2CE7">
        <w:rPr>
          <w:rFonts w:ascii="Arial" w:hAnsi="Arial" w:cs="Arial"/>
          <w:sz w:val="22"/>
          <w:szCs w:val="22"/>
        </w:rPr>
        <w:t>Hanada</w:t>
      </w:r>
      <w:proofErr w:type="spellEnd"/>
      <w:r w:rsidRPr="007A2CE7">
        <w:rPr>
          <w:rFonts w:ascii="Arial" w:hAnsi="Arial" w:cs="Arial"/>
          <w:sz w:val="22"/>
          <w:szCs w:val="22"/>
        </w:rPr>
        <w:t xml:space="preserve"> M, </w:t>
      </w:r>
      <w:proofErr w:type="spellStart"/>
      <w:r w:rsidRPr="007A2CE7">
        <w:rPr>
          <w:rFonts w:ascii="Arial" w:hAnsi="Arial" w:cs="Arial"/>
          <w:sz w:val="22"/>
          <w:szCs w:val="22"/>
        </w:rPr>
        <w:t>Nishikino</w:t>
      </w:r>
      <w:proofErr w:type="spellEnd"/>
      <w:r w:rsidRPr="007A2CE7">
        <w:rPr>
          <w:rFonts w:ascii="Arial" w:hAnsi="Arial" w:cs="Arial"/>
          <w:sz w:val="22"/>
          <w:szCs w:val="22"/>
        </w:rPr>
        <w:t xml:space="preserve"> S, </w:t>
      </w:r>
      <w:proofErr w:type="spellStart"/>
      <w:r w:rsidRPr="007A2CE7">
        <w:rPr>
          <w:rFonts w:ascii="Arial" w:hAnsi="Arial" w:cs="Arial"/>
          <w:sz w:val="22"/>
          <w:szCs w:val="22"/>
        </w:rPr>
        <w:t>Hotta</w:t>
      </w:r>
      <w:proofErr w:type="spellEnd"/>
      <w:r w:rsidRPr="007A2CE7">
        <w:rPr>
          <w:rFonts w:ascii="Arial" w:hAnsi="Arial" w:cs="Arial"/>
          <w:sz w:val="22"/>
          <w:szCs w:val="22"/>
        </w:rPr>
        <w:t xml:space="preserve"> K, Furuhashi H, Hoshino H, Matsuyama Y. Intrawound vancomycin powder increases post-operative wound complications and does not decrease periprosthetic joint infection in primary total and </w:t>
      </w:r>
      <w:proofErr w:type="spellStart"/>
      <w:r w:rsidRPr="007A2CE7">
        <w:rPr>
          <w:rFonts w:ascii="Arial" w:hAnsi="Arial" w:cs="Arial"/>
          <w:sz w:val="22"/>
          <w:szCs w:val="22"/>
        </w:rPr>
        <w:t>unicompartmental</w:t>
      </w:r>
      <w:proofErr w:type="spellEnd"/>
      <w:r w:rsidRPr="007A2CE7">
        <w:rPr>
          <w:rFonts w:ascii="Arial" w:hAnsi="Arial" w:cs="Arial"/>
          <w:sz w:val="22"/>
          <w:szCs w:val="22"/>
        </w:rPr>
        <w:t xml:space="preserve"> knee arthroplasties. Knee Surg Sports </w:t>
      </w:r>
      <w:proofErr w:type="spellStart"/>
      <w:r w:rsidRPr="007A2CE7">
        <w:rPr>
          <w:rFonts w:ascii="Arial" w:hAnsi="Arial" w:cs="Arial"/>
          <w:sz w:val="22"/>
          <w:szCs w:val="22"/>
        </w:rPr>
        <w:t>Traumatol</w:t>
      </w:r>
      <w:proofErr w:type="spellEnd"/>
      <w:r w:rsidRPr="007A2CE7">
        <w:rPr>
          <w:rFonts w:ascii="Arial" w:hAnsi="Arial" w:cs="Arial"/>
          <w:sz w:val="22"/>
          <w:szCs w:val="22"/>
        </w:rPr>
        <w:t xml:space="preserve"> </w:t>
      </w:r>
      <w:proofErr w:type="spellStart"/>
      <w:r w:rsidRPr="007A2CE7">
        <w:rPr>
          <w:rFonts w:ascii="Arial" w:hAnsi="Arial" w:cs="Arial"/>
          <w:sz w:val="22"/>
          <w:szCs w:val="22"/>
        </w:rPr>
        <w:t>Arthrosc</w:t>
      </w:r>
      <w:proofErr w:type="spellEnd"/>
      <w:r w:rsidRPr="007A2CE7">
        <w:rPr>
          <w:rFonts w:ascii="Arial" w:hAnsi="Arial" w:cs="Arial"/>
          <w:sz w:val="22"/>
          <w:szCs w:val="22"/>
        </w:rPr>
        <w:t xml:space="preserve">. 2019;27:2322-2327. doi:10.1007/s00167-019-05498-z. </w:t>
      </w:r>
    </w:p>
    <w:p w14:paraId="7ACCF6BE"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Harper KD, Lambert BS, O'Dowd J, Sullivan T, </w:t>
      </w:r>
      <w:proofErr w:type="spellStart"/>
      <w:r w:rsidRPr="007A2CE7">
        <w:rPr>
          <w:rFonts w:ascii="Arial" w:hAnsi="Arial" w:cs="Arial"/>
          <w:sz w:val="22"/>
          <w:szCs w:val="22"/>
        </w:rPr>
        <w:t>Incavo</w:t>
      </w:r>
      <w:proofErr w:type="spellEnd"/>
      <w:r w:rsidRPr="007A2CE7">
        <w:rPr>
          <w:rFonts w:ascii="Arial" w:hAnsi="Arial" w:cs="Arial"/>
          <w:sz w:val="22"/>
          <w:szCs w:val="22"/>
        </w:rPr>
        <w:t xml:space="preserve"> SJ. Clinical outcome evaluation of intraosseous vancomycin in total knee arthroplasty. </w:t>
      </w:r>
      <w:proofErr w:type="spellStart"/>
      <w:r w:rsidRPr="007A2CE7">
        <w:rPr>
          <w:rFonts w:ascii="Arial" w:hAnsi="Arial" w:cs="Arial"/>
          <w:sz w:val="22"/>
          <w:szCs w:val="22"/>
        </w:rPr>
        <w:t>Arthroplast</w:t>
      </w:r>
      <w:proofErr w:type="spellEnd"/>
      <w:r w:rsidRPr="007A2CE7">
        <w:rPr>
          <w:rFonts w:ascii="Arial" w:hAnsi="Arial" w:cs="Arial"/>
          <w:sz w:val="22"/>
          <w:szCs w:val="22"/>
        </w:rPr>
        <w:t xml:space="preserve"> Today. 2020;6:220-223. doi:10.1016/j.artd.2020.02.001. </w:t>
      </w:r>
    </w:p>
    <w:p w14:paraId="5F583044"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Johnson JD, Nessler JM, Horazdovsky RD, Vang S, Thomas AJ, Marston SB. Serum and wound vancomycin levels after intrawound administration in primary total joint arthroplasty. J Arthroplasty. 2017;32:924-928. doi:10.1016/j.arth.2015.10.015. </w:t>
      </w:r>
    </w:p>
    <w:p w14:paraId="18BB5398"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Khatri K, Bansal D, Singla R, Sri S. Prophylactic intrawound application of vancomycin in total knee arthroplasty. J </w:t>
      </w:r>
      <w:proofErr w:type="spellStart"/>
      <w:r w:rsidRPr="007A2CE7">
        <w:rPr>
          <w:rFonts w:ascii="Arial" w:hAnsi="Arial" w:cs="Arial"/>
          <w:sz w:val="22"/>
          <w:szCs w:val="22"/>
        </w:rPr>
        <w:t>Arthrosc</w:t>
      </w:r>
      <w:proofErr w:type="spellEnd"/>
      <w:r w:rsidRPr="007A2CE7">
        <w:rPr>
          <w:rFonts w:ascii="Arial" w:hAnsi="Arial" w:cs="Arial"/>
          <w:sz w:val="22"/>
          <w:szCs w:val="22"/>
        </w:rPr>
        <w:t xml:space="preserve"> Joint Surg. 2017;4:61-64. doi:10.1016/j.jajs.2017.08.001. </w:t>
      </w:r>
    </w:p>
    <w:p w14:paraId="1E7D508E"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Park KJ, Wininger AE, Sullivan TC, Varghese B, Clyburn TA, </w:t>
      </w:r>
      <w:proofErr w:type="spellStart"/>
      <w:r w:rsidRPr="007A2CE7">
        <w:rPr>
          <w:rFonts w:ascii="Arial" w:hAnsi="Arial" w:cs="Arial"/>
          <w:sz w:val="22"/>
          <w:szCs w:val="22"/>
        </w:rPr>
        <w:t>Incavo</w:t>
      </w:r>
      <w:proofErr w:type="spellEnd"/>
      <w:r w:rsidRPr="007A2CE7">
        <w:rPr>
          <w:rFonts w:ascii="Arial" w:hAnsi="Arial" w:cs="Arial"/>
          <w:sz w:val="22"/>
          <w:szCs w:val="22"/>
        </w:rPr>
        <w:t xml:space="preserve"> SJ. Superior clinical results with intraosseous vancomycin in primary total knee arthroplasty. J Arthroplasty. 2025;40:2650-2654. doi:10.1016/j.arth.2025.04.074. </w:t>
      </w:r>
    </w:p>
    <w:p w14:paraId="206FA5EC"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lastRenderedPageBreak/>
        <w:t xml:space="preserve">Parkinson B, McEwen P, Wilkinson M, </w:t>
      </w:r>
      <w:proofErr w:type="spellStart"/>
      <w:r w:rsidRPr="007A2CE7">
        <w:rPr>
          <w:rFonts w:ascii="Arial" w:hAnsi="Arial" w:cs="Arial"/>
          <w:sz w:val="22"/>
          <w:szCs w:val="22"/>
        </w:rPr>
        <w:t>Hazratwala</w:t>
      </w:r>
      <w:proofErr w:type="spellEnd"/>
      <w:r w:rsidRPr="007A2CE7">
        <w:rPr>
          <w:rFonts w:ascii="Arial" w:hAnsi="Arial" w:cs="Arial"/>
          <w:sz w:val="22"/>
          <w:szCs w:val="22"/>
        </w:rPr>
        <w:t xml:space="preserve"> K, Hellman J, Kan H, McLean A, Panwar Y, Doma K, Grant A. Intraosseous regional prophylactic antibiotics decrease the risk of prosthetic joint infection in primary TKA: a multicenter study. Clin </w:t>
      </w:r>
      <w:proofErr w:type="spellStart"/>
      <w:r w:rsidRPr="007A2CE7">
        <w:rPr>
          <w:rFonts w:ascii="Arial" w:hAnsi="Arial" w:cs="Arial"/>
          <w:sz w:val="22"/>
          <w:szCs w:val="22"/>
        </w:rPr>
        <w:t>Orthop</w:t>
      </w:r>
      <w:proofErr w:type="spellEnd"/>
      <w:r w:rsidRPr="007A2CE7">
        <w:rPr>
          <w:rFonts w:ascii="Arial" w:hAnsi="Arial" w:cs="Arial"/>
          <w:sz w:val="22"/>
          <w:szCs w:val="22"/>
        </w:rPr>
        <w:t xml:space="preserve"> </w:t>
      </w:r>
      <w:proofErr w:type="spellStart"/>
      <w:r w:rsidRPr="007A2CE7">
        <w:rPr>
          <w:rFonts w:ascii="Arial" w:hAnsi="Arial" w:cs="Arial"/>
          <w:sz w:val="22"/>
          <w:szCs w:val="22"/>
        </w:rPr>
        <w:t>Relat</w:t>
      </w:r>
      <w:proofErr w:type="spellEnd"/>
      <w:r w:rsidRPr="007A2CE7">
        <w:rPr>
          <w:rFonts w:ascii="Arial" w:hAnsi="Arial" w:cs="Arial"/>
          <w:sz w:val="22"/>
          <w:szCs w:val="22"/>
        </w:rPr>
        <w:t xml:space="preserve"> Res. 2021;479:2504-2512. doi:10.1097/CORR.0000000000001919. </w:t>
      </w:r>
    </w:p>
    <w:p w14:paraId="35030C49"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Tahmasebi MN, Vaziri AS, Vosoughi F, </w:t>
      </w:r>
      <w:proofErr w:type="spellStart"/>
      <w:r w:rsidRPr="007A2CE7">
        <w:rPr>
          <w:rFonts w:ascii="Arial" w:hAnsi="Arial" w:cs="Arial"/>
          <w:sz w:val="22"/>
          <w:szCs w:val="22"/>
        </w:rPr>
        <w:t>Tahami</w:t>
      </w:r>
      <w:proofErr w:type="spellEnd"/>
      <w:r w:rsidRPr="007A2CE7">
        <w:rPr>
          <w:rFonts w:ascii="Arial" w:hAnsi="Arial" w:cs="Arial"/>
          <w:sz w:val="22"/>
          <w:szCs w:val="22"/>
        </w:rPr>
        <w:t xml:space="preserve"> M, </w:t>
      </w:r>
      <w:proofErr w:type="spellStart"/>
      <w:r w:rsidRPr="007A2CE7">
        <w:rPr>
          <w:rFonts w:ascii="Arial" w:hAnsi="Arial" w:cs="Arial"/>
          <w:sz w:val="22"/>
          <w:szCs w:val="22"/>
        </w:rPr>
        <w:t>Khalilizad</w:t>
      </w:r>
      <w:proofErr w:type="spellEnd"/>
      <w:r w:rsidRPr="007A2CE7">
        <w:rPr>
          <w:rFonts w:ascii="Arial" w:hAnsi="Arial" w:cs="Arial"/>
          <w:sz w:val="22"/>
          <w:szCs w:val="22"/>
        </w:rPr>
        <w:t xml:space="preserve"> M, Rabie H. Low post-arthroplasty infection rate is possible in developing countries: long-term experience of local vancomycin </w:t>
      </w:r>
      <w:proofErr w:type="gramStart"/>
      <w:r w:rsidRPr="007A2CE7">
        <w:rPr>
          <w:rFonts w:ascii="Arial" w:hAnsi="Arial" w:cs="Arial"/>
          <w:sz w:val="22"/>
          <w:szCs w:val="22"/>
        </w:rPr>
        <w:t>use</w:t>
      </w:r>
      <w:proofErr w:type="gramEnd"/>
      <w:r w:rsidRPr="007A2CE7">
        <w:rPr>
          <w:rFonts w:ascii="Arial" w:hAnsi="Arial" w:cs="Arial"/>
          <w:sz w:val="22"/>
          <w:szCs w:val="22"/>
        </w:rPr>
        <w:t xml:space="preserve"> in Iran. J </w:t>
      </w:r>
      <w:proofErr w:type="spellStart"/>
      <w:r w:rsidRPr="007A2CE7">
        <w:rPr>
          <w:rFonts w:ascii="Arial" w:hAnsi="Arial" w:cs="Arial"/>
          <w:sz w:val="22"/>
          <w:szCs w:val="22"/>
        </w:rPr>
        <w:t>Orthop</w:t>
      </w:r>
      <w:proofErr w:type="spellEnd"/>
      <w:r w:rsidRPr="007A2CE7">
        <w:rPr>
          <w:rFonts w:ascii="Arial" w:hAnsi="Arial" w:cs="Arial"/>
          <w:sz w:val="22"/>
          <w:szCs w:val="22"/>
        </w:rPr>
        <w:t xml:space="preserve"> Surg Res. 2021;16:199. doi:10.1186/s13018-021-02344-2. </w:t>
      </w:r>
    </w:p>
    <w:p w14:paraId="0D3B40E9"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Wininger AE, Gurusamy P, Sullivan TC, </w:t>
      </w:r>
      <w:proofErr w:type="spellStart"/>
      <w:r w:rsidRPr="007A2CE7">
        <w:rPr>
          <w:rFonts w:ascii="Arial" w:hAnsi="Arial" w:cs="Arial"/>
          <w:sz w:val="22"/>
          <w:szCs w:val="22"/>
        </w:rPr>
        <w:t>Serpelloni</w:t>
      </w:r>
      <w:proofErr w:type="spellEnd"/>
      <w:r w:rsidRPr="007A2CE7">
        <w:rPr>
          <w:rFonts w:ascii="Arial" w:hAnsi="Arial" w:cs="Arial"/>
          <w:sz w:val="22"/>
          <w:szCs w:val="22"/>
        </w:rPr>
        <w:t xml:space="preserve"> S, </w:t>
      </w:r>
      <w:proofErr w:type="spellStart"/>
      <w:r w:rsidRPr="007A2CE7">
        <w:rPr>
          <w:rFonts w:ascii="Arial" w:hAnsi="Arial" w:cs="Arial"/>
          <w:sz w:val="22"/>
          <w:szCs w:val="22"/>
        </w:rPr>
        <w:t>Taraballi</w:t>
      </w:r>
      <w:proofErr w:type="spellEnd"/>
      <w:r w:rsidRPr="007A2CE7">
        <w:rPr>
          <w:rFonts w:ascii="Arial" w:hAnsi="Arial" w:cs="Arial"/>
          <w:sz w:val="22"/>
          <w:szCs w:val="22"/>
        </w:rPr>
        <w:t xml:space="preserve"> F, Park KJ, Brown TS. Intraosseous versus intravenous vancomycin in </w:t>
      </w:r>
      <w:proofErr w:type="spellStart"/>
      <w:r w:rsidRPr="007A2CE7">
        <w:rPr>
          <w:rFonts w:ascii="Arial" w:hAnsi="Arial" w:cs="Arial"/>
          <w:sz w:val="22"/>
          <w:szCs w:val="22"/>
        </w:rPr>
        <w:t>tourniquetless</w:t>
      </w:r>
      <w:proofErr w:type="spellEnd"/>
      <w:r w:rsidRPr="007A2CE7">
        <w:rPr>
          <w:rFonts w:ascii="Arial" w:hAnsi="Arial" w:cs="Arial"/>
          <w:sz w:val="22"/>
          <w:szCs w:val="22"/>
        </w:rPr>
        <w:t xml:space="preserve"> primary total knee arthroplasty: a randomized trial. J Arthroplasty. 2024;39:S224-S228. doi:10.1016/j.arth.2024.02.083. </w:t>
      </w:r>
    </w:p>
    <w:p w14:paraId="0FC53AC6"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Xu X, Zhang X, Zhang Y, Chen C, Yu H, Xue E. Role of intra-wound powdered vancomycin in primary total knee arthroplasty. </w:t>
      </w:r>
      <w:proofErr w:type="spellStart"/>
      <w:r w:rsidRPr="007A2CE7">
        <w:rPr>
          <w:rFonts w:ascii="Arial" w:hAnsi="Arial" w:cs="Arial"/>
          <w:sz w:val="22"/>
          <w:szCs w:val="22"/>
        </w:rPr>
        <w:t>Orthop</w:t>
      </w:r>
      <w:proofErr w:type="spellEnd"/>
      <w:r w:rsidRPr="007A2CE7">
        <w:rPr>
          <w:rFonts w:ascii="Arial" w:hAnsi="Arial" w:cs="Arial"/>
          <w:sz w:val="22"/>
          <w:szCs w:val="22"/>
        </w:rPr>
        <w:t xml:space="preserve"> </w:t>
      </w:r>
      <w:proofErr w:type="spellStart"/>
      <w:r w:rsidRPr="007A2CE7">
        <w:rPr>
          <w:rFonts w:ascii="Arial" w:hAnsi="Arial" w:cs="Arial"/>
          <w:sz w:val="22"/>
          <w:szCs w:val="22"/>
        </w:rPr>
        <w:t>Traumatol</w:t>
      </w:r>
      <w:proofErr w:type="spellEnd"/>
      <w:r w:rsidRPr="007A2CE7">
        <w:rPr>
          <w:rFonts w:ascii="Arial" w:hAnsi="Arial" w:cs="Arial"/>
          <w:sz w:val="22"/>
          <w:szCs w:val="22"/>
        </w:rPr>
        <w:t xml:space="preserve"> Surg Res. 2020;106:417-420. doi:10.1016/j.otsr.2020.01.007. </w:t>
      </w:r>
    </w:p>
    <w:p w14:paraId="30D5BADC" w14:textId="77777777" w:rsid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Yavuz IA, Oken OF, Yildirim AO, Inci F, Ceyhan E, Gurhan U. No effect of vancomycin powder to prevent infection in primary total knee arthroplasty: a retrospective review of 976 cases. Knee Surg Sports </w:t>
      </w:r>
      <w:proofErr w:type="spellStart"/>
      <w:r w:rsidRPr="007A2CE7">
        <w:rPr>
          <w:rFonts w:ascii="Arial" w:hAnsi="Arial" w:cs="Arial"/>
          <w:sz w:val="22"/>
          <w:szCs w:val="22"/>
        </w:rPr>
        <w:t>Traumatol</w:t>
      </w:r>
      <w:proofErr w:type="spellEnd"/>
      <w:r w:rsidRPr="007A2CE7">
        <w:rPr>
          <w:rFonts w:ascii="Arial" w:hAnsi="Arial" w:cs="Arial"/>
          <w:sz w:val="22"/>
          <w:szCs w:val="22"/>
        </w:rPr>
        <w:t xml:space="preserve"> </w:t>
      </w:r>
      <w:proofErr w:type="spellStart"/>
      <w:r w:rsidRPr="007A2CE7">
        <w:rPr>
          <w:rFonts w:ascii="Arial" w:hAnsi="Arial" w:cs="Arial"/>
          <w:sz w:val="22"/>
          <w:szCs w:val="22"/>
        </w:rPr>
        <w:t>Arthrosc</w:t>
      </w:r>
      <w:proofErr w:type="spellEnd"/>
      <w:r w:rsidRPr="007A2CE7">
        <w:rPr>
          <w:rFonts w:ascii="Arial" w:hAnsi="Arial" w:cs="Arial"/>
          <w:sz w:val="22"/>
          <w:szCs w:val="22"/>
        </w:rPr>
        <w:t xml:space="preserve">. 2020;28:3055-3060. doi:10.1007/s00167-019-05778-8. </w:t>
      </w:r>
    </w:p>
    <w:p w14:paraId="0414EB17" w14:textId="77777777" w:rsidR="009A1204" w:rsidRDefault="009A1204" w:rsidP="009A1204">
      <w:pPr>
        <w:pStyle w:val="ListParagraph"/>
        <w:numPr>
          <w:ilvl w:val="0"/>
          <w:numId w:val="22"/>
        </w:numPr>
        <w:rPr>
          <w:rFonts w:ascii="Arial" w:hAnsi="Arial" w:cs="Arial"/>
          <w:sz w:val="22"/>
          <w:szCs w:val="22"/>
        </w:rPr>
      </w:pPr>
      <w:proofErr w:type="spellStart"/>
      <w:r w:rsidRPr="009A1204">
        <w:rPr>
          <w:rFonts w:ascii="Arial" w:hAnsi="Arial" w:cs="Arial"/>
          <w:sz w:val="22"/>
          <w:szCs w:val="22"/>
        </w:rPr>
        <w:t>Spangehl</w:t>
      </w:r>
      <w:proofErr w:type="spellEnd"/>
      <w:r w:rsidRPr="009A1204">
        <w:rPr>
          <w:rFonts w:ascii="Arial" w:hAnsi="Arial" w:cs="Arial"/>
          <w:sz w:val="22"/>
          <w:szCs w:val="22"/>
        </w:rPr>
        <w:t xml:space="preserve"> MJ, Clarke HD, Moore GA, Zhang M, Probst NE, Young SW. Higher tissue concentrations of vancomycin achieved with low-dose intraosseous injection versus intravenous despite limited tourniquet duration in primary total knee arthroplasty: a randomized trial. J Arthroplasty. 2022;37(5):857-863. doi:10.1016/j.arth.2022.01.057.</w:t>
      </w:r>
    </w:p>
    <w:p w14:paraId="2A0970A7" w14:textId="013FB525" w:rsidR="009A1204" w:rsidRPr="009A1204" w:rsidRDefault="009A1204" w:rsidP="009A1204">
      <w:pPr>
        <w:pStyle w:val="ListParagraph"/>
        <w:numPr>
          <w:ilvl w:val="0"/>
          <w:numId w:val="22"/>
        </w:numPr>
        <w:rPr>
          <w:rFonts w:ascii="Arial" w:hAnsi="Arial" w:cs="Arial"/>
          <w:sz w:val="22"/>
          <w:szCs w:val="22"/>
        </w:rPr>
      </w:pPr>
      <w:r w:rsidRPr="009A1204">
        <w:rPr>
          <w:sz w:val="22"/>
          <w:szCs w:val="22"/>
        </w:rPr>
        <w:t xml:space="preserve">Haddaway NR, Page MJ, Pritchard CC, McGuinness LA. PRISMA2020: an R package and Shiny app for producing PRISMA 2020-compliant flow diagrams, with interactivity for optimised digital transparency and Open Synthesis. </w:t>
      </w:r>
      <w:r w:rsidRPr="009A1204">
        <w:rPr>
          <w:rStyle w:val="Emphasis"/>
          <w:sz w:val="22"/>
          <w:szCs w:val="22"/>
        </w:rPr>
        <w:t>Campbell Syst Rev.</w:t>
      </w:r>
      <w:r w:rsidRPr="009A1204">
        <w:rPr>
          <w:sz w:val="22"/>
          <w:szCs w:val="22"/>
        </w:rPr>
        <w:t xml:space="preserve"> 2022;18:e1230. doi:10.1002/cl2.1230.</w:t>
      </w:r>
    </w:p>
    <w:p w14:paraId="79E9CEBF"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Wells GA, Shea B, O'Connell D, Peterson J, Welch V, </w:t>
      </w:r>
      <w:proofErr w:type="spellStart"/>
      <w:r w:rsidRPr="007A2CE7">
        <w:rPr>
          <w:rFonts w:ascii="Arial" w:hAnsi="Arial" w:cs="Arial"/>
          <w:sz w:val="22"/>
          <w:szCs w:val="22"/>
        </w:rPr>
        <w:t>Losos</w:t>
      </w:r>
      <w:proofErr w:type="spellEnd"/>
      <w:r w:rsidRPr="007A2CE7">
        <w:rPr>
          <w:rFonts w:ascii="Arial" w:hAnsi="Arial" w:cs="Arial"/>
          <w:sz w:val="22"/>
          <w:szCs w:val="22"/>
        </w:rPr>
        <w:t xml:space="preserve"> M, </w:t>
      </w:r>
      <w:proofErr w:type="spellStart"/>
      <w:r w:rsidRPr="007A2CE7">
        <w:rPr>
          <w:rFonts w:ascii="Arial" w:hAnsi="Arial" w:cs="Arial"/>
          <w:sz w:val="22"/>
          <w:szCs w:val="22"/>
        </w:rPr>
        <w:t>Tugwell</w:t>
      </w:r>
      <w:proofErr w:type="spellEnd"/>
      <w:r w:rsidRPr="007A2CE7">
        <w:rPr>
          <w:rFonts w:ascii="Arial" w:hAnsi="Arial" w:cs="Arial"/>
          <w:sz w:val="22"/>
          <w:szCs w:val="22"/>
        </w:rPr>
        <w:t xml:space="preserve"> P. The Newcastle-Ottawa Scale (NOS) for Assessing the Quality of Nonrandomized Studies in Meta-Analyses. Ottawa Hospital Research Institute; 2000. </w:t>
      </w:r>
      <w:hyperlink r:id="rId12" w:history="1">
        <w:r w:rsidRPr="007A2CE7">
          <w:rPr>
            <w:rStyle w:val="Hyperlink"/>
            <w:rFonts w:ascii="Arial" w:hAnsi="Arial" w:cs="Arial"/>
            <w:sz w:val="22"/>
            <w:szCs w:val="22"/>
          </w:rPr>
          <w:t>http://www.ohri.ca/programs/clinical_epidemiology/oxford.asp</w:t>
        </w:r>
      </w:hyperlink>
      <w:r w:rsidRPr="007A2CE7">
        <w:rPr>
          <w:rFonts w:ascii="Arial" w:hAnsi="Arial" w:cs="Arial"/>
          <w:sz w:val="22"/>
          <w:szCs w:val="22"/>
        </w:rPr>
        <w:t xml:space="preserve"> </w:t>
      </w:r>
    </w:p>
    <w:p w14:paraId="49978F26"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Sterne JAC, Hernán MA, Reeves BC, et al. ROBINS-I: a tool for assessing risk of bias in non-randomised studies of interventions. BMJ. 2016;355:i4919. </w:t>
      </w:r>
    </w:p>
    <w:p w14:paraId="476D7CE4"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Sterne JAC, Savović J, Page MJ, et al. </w:t>
      </w:r>
      <w:proofErr w:type="spellStart"/>
      <w:r w:rsidRPr="007A2CE7">
        <w:rPr>
          <w:rFonts w:ascii="Arial" w:hAnsi="Arial" w:cs="Arial"/>
          <w:sz w:val="22"/>
          <w:szCs w:val="22"/>
        </w:rPr>
        <w:t>RoB</w:t>
      </w:r>
      <w:proofErr w:type="spellEnd"/>
      <w:r w:rsidRPr="007A2CE7">
        <w:rPr>
          <w:rFonts w:ascii="Arial" w:hAnsi="Arial" w:cs="Arial"/>
          <w:sz w:val="22"/>
          <w:szCs w:val="22"/>
        </w:rPr>
        <w:t xml:space="preserve"> 2: a revised tool for assessing risk of bias in randomised trials. BMJ. 2019;366:l4898. doi:10.1136/bmj.l4898. </w:t>
      </w:r>
    </w:p>
    <w:p w14:paraId="44741DC3" w14:textId="0FB54533"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Young SW, Roberts TL, Johnson SH, Dalton JP, Coleman B, Wiles S. Regional intraosseous administration of prophylactic antibiotics is more effective than systemic administration in a mouse model of TKA. Clin </w:t>
      </w:r>
      <w:proofErr w:type="spellStart"/>
      <w:r w:rsidRPr="007A2CE7">
        <w:rPr>
          <w:rFonts w:ascii="Arial" w:hAnsi="Arial" w:cs="Arial"/>
          <w:sz w:val="22"/>
          <w:szCs w:val="22"/>
        </w:rPr>
        <w:t>Orthop</w:t>
      </w:r>
      <w:proofErr w:type="spellEnd"/>
      <w:r w:rsidRPr="007A2CE7">
        <w:rPr>
          <w:rFonts w:ascii="Arial" w:hAnsi="Arial" w:cs="Arial"/>
          <w:sz w:val="22"/>
          <w:szCs w:val="22"/>
        </w:rPr>
        <w:t xml:space="preserve"> </w:t>
      </w:r>
      <w:proofErr w:type="spellStart"/>
      <w:r w:rsidRPr="007A2CE7">
        <w:rPr>
          <w:rFonts w:ascii="Arial" w:hAnsi="Arial" w:cs="Arial"/>
          <w:sz w:val="22"/>
          <w:szCs w:val="22"/>
        </w:rPr>
        <w:t>Relat</w:t>
      </w:r>
      <w:proofErr w:type="spellEnd"/>
      <w:r w:rsidRPr="007A2CE7">
        <w:rPr>
          <w:rFonts w:ascii="Arial" w:hAnsi="Arial" w:cs="Arial"/>
          <w:sz w:val="22"/>
          <w:szCs w:val="22"/>
        </w:rPr>
        <w:t xml:space="preserve"> Res. 2015;473:3573-3584. doi:10.1007/s11999-015-4464-x. </w:t>
      </w:r>
    </w:p>
    <w:p w14:paraId="5887B8A3"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Christopher ZK, </w:t>
      </w:r>
      <w:proofErr w:type="spellStart"/>
      <w:r w:rsidRPr="007A2CE7">
        <w:rPr>
          <w:rFonts w:ascii="Arial" w:hAnsi="Arial" w:cs="Arial"/>
          <w:sz w:val="22"/>
          <w:szCs w:val="22"/>
        </w:rPr>
        <w:t>Pulicherla</w:t>
      </w:r>
      <w:proofErr w:type="spellEnd"/>
      <w:r w:rsidRPr="007A2CE7">
        <w:rPr>
          <w:rFonts w:ascii="Arial" w:hAnsi="Arial" w:cs="Arial"/>
          <w:sz w:val="22"/>
          <w:szCs w:val="22"/>
        </w:rPr>
        <w:t xml:space="preserve"> N, </w:t>
      </w:r>
      <w:proofErr w:type="spellStart"/>
      <w:r w:rsidRPr="007A2CE7">
        <w:rPr>
          <w:rFonts w:ascii="Arial" w:hAnsi="Arial" w:cs="Arial"/>
          <w:sz w:val="22"/>
          <w:szCs w:val="22"/>
        </w:rPr>
        <w:t>Iturregui</w:t>
      </w:r>
      <w:proofErr w:type="spellEnd"/>
      <w:r w:rsidRPr="007A2CE7">
        <w:rPr>
          <w:rFonts w:ascii="Arial" w:hAnsi="Arial" w:cs="Arial"/>
          <w:sz w:val="22"/>
          <w:szCs w:val="22"/>
        </w:rPr>
        <w:t xml:space="preserve"> JM, et al. Low risk of periprosthetic joint infection after aseptic revision total knee arthroplasty with intraosseous vancomycin. J Arthroplasty. 2024;39. doi:10.1016/j.arth.2024.05.030. </w:t>
      </w:r>
    </w:p>
    <w:p w14:paraId="718AFE24"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McNamara C, Wininger AE, Sullivan TC, et al. The AAHKS Best Podium Presentation Research Award: intraosseous vancomycin reduces the rate of periprosthetic joint </w:t>
      </w:r>
      <w:r w:rsidRPr="007A2CE7">
        <w:rPr>
          <w:rFonts w:ascii="Arial" w:hAnsi="Arial" w:cs="Arial"/>
          <w:sz w:val="22"/>
          <w:szCs w:val="22"/>
        </w:rPr>
        <w:lastRenderedPageBreak/>
        <w:t xml:space="preserve">infection following aseptic revision total knee arthroplasty. J Arthroplasty. 2025;40. doi:10.1016/j.arth.2025.04.060. </w:t>
      </w:r>
    </w:p>
    <w:p w14:paraId="73A3AE46"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Arthur JR, Bingham JS, Clarke HD, </w:t>
      </w:r>
      <w:proofErr w:type="spellStart"/>
      <w:r w:rsidRPr="007A2CE7">
        <w:rPr>
          <w:rFonts w:ascii="Arial" w:hAnsi="Arial" w:cs="Arial"/>
          <w:sz w:val="22"/>
          <w:szCs w:val="22"/>
        </w:rPr>
        <w:t>Spangehl</w:t>
      </w:r>
      <w:proofErr w:type="spellEnd"/>
      <w:r w:rsidRPr="007A2CE7">
        <w:rPr>
          <w:rFonts w:ascii="Arial" w:hAnsi="Arial" w:cs="Arial"/>
          <w:sz w:val="22"/>
          <w:szCs w:val="22"/>
        </w:rPr>
        <w:t xml:space="preserve"> MJ, Young SW. Intraosseous regional administration of antibiotic prophylaxis in total knee arthroplasty. JBJS Essent Surg Tech. 2020;10:e20.00001. doi:10.2106/JBJS.ST.20.00001. </w:t>
      </w:r>
    </w:p>
    <w:p w14:paraId="58190061"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Harper KD, </w:t>
      </w:r>
      <w:proofErr w:type="spellStart"/>
      <w:r w:rsidRPr="007A2CE7">
        <w:rPr>
          <w:rFonts w:ascii="Arial" w:hAnsi="Arial" w:cs="Arial"/>
          <w:sz w:val="22"/>
          <w:szCs w:val="22"/>
        </w:rPr>
        <w:t>Incavo</w:t>
      </w:r>
      <w:proofErr w:type="spellEnd"/>
      <w:r w:rsidRPr="007A2CE7">
        <w:rPr>
          <w:rFonts w:ascii="Arial" w:hAnsi="Arial" w:cs="Arial"/>
          <w:sz w:val="22"/>
          <w:szCs w:val="22"/>
        </w:rPr>
        <w:t xml:space="preserve"> SJ. Intraosseous administration of medications in total knee arthroplasty. JBJS Essent Surg Tech. 2024;14:e22.00071. doi:10.2106/JBJS.ST.22.00071. </w:t>
      </w:r>
    </w:p>
    <w:p w14:paraId="7575C265"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Courtney PM, Melnic CM, Zimmer ZR, Anari J, Lee GC. Addition of vancomycin to cefazolin prophylaxis is associated with acute kidney injury after primary joint arthroplasty. Clin </w:t>
      </w:r>
      <w:proofErr w:type="spellStart"/>
      <w:r w:rsidRPr="007A2CE7">
        <w:rPr>
          <w:rFonts w:ascii="Arial" w:hAnsi="Arial" w:cs="Arial"/>
          <w:sz w:val="22"/>
          <w:szCs w:val="22"/>
        </w:rPr>
        <w:t>Orthop</w:t>
      </w:r>
      <w:proofErr w:type="spellEnd"/>
      <w:r w:rsidRPr="007A2CE7">
        <w:rPr>
          <w:rFonts w:ascii="Arial" w:hAnsi="Arial" w:cs="Arial"/>
          <w:sz w:val="22"/>
          <w:szCs w:val="22"/>
        </w:rPr>
        <w:t xml:space="preserve"> </w:t>
      </w:r>
      <w:proofErr w:type="spellStart"/>
      <w:r w:rsidRPr="007A2CE7">
        <w:rPr>
          <w:rFonts w:ascii="Arial" w:hAnsi="Arial" w:cs="Arial"/>
          <w:sz w:val="22"/>
          <w:szCs w:val="22"/>
        </w:rPr>
        <w:t>Relat</w:t>
      </w:r>
      <w:proofErr w:type="spellEnd"/>
      <w:r w:rsidRPr="007A2CE7">
        <w:rPr>
          <w:rFonts w:ascii="Arial" w:hAnsi="Arial" w:cs="Arial"/>
          <w:sz w:val="22"/>
          <w:szCs w:val="22"/>
        </w:rPr>
        <w:t xml:space="preserve"> Res. 2015;473:2197-2203. doi:10.1007/s11999-014-4062-3. </w:t>
      </w:r>
    </w:p>
    <w:p w14:paraId="6285DE06"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Branch-Elliman W, </w:t>
      </w:r>
      <w:proofErr w:type="spellStart"/>
      <w:r w:rsidRPr="007A2CE7">
        <w:rPr>
          <w:rFonts w:ascii="Arial" w:hAnsi="Arial" w:cs="Arial"/>
          <w:sz w:val="22"/>
          <w:szCs w:val="22"/>
        </w:rPr>
        <w:t>Ripollone</w:t>
      </w:r>
      <w:proofErr w:type="spellEnd"/>
      <w:r w:rsidRPr="007A2CE7">
        <w:rPr>
          <w:rFonts w:ascii="Arial" w:hAnsi="Arial" w:cs="Arial"/>
          <w:sz w:val="22"/>
          <w:szCs w:val="22"/>
        </w:rPr>
        <w:t xml:space="preserve"> JE, O'Brien WJ, et al. Risk of surgical site infection, acute kidney injury, and Clostridium difficile infection following antibiotic prophylaxis with vancomycin plus a beta-lactam versus either drug alone: a national propensity-score-adjusted retrospective cohort study. </w:t>
      </w:r>
      <w:proofErr w:type="spellStart"/>
      <w:r w:rsidRPr="007A2CE7">
        <w:rPr>
          <w:rFonts w:ascii="Arial" w:hAnsi="Arial" w:cs="Arial"/>
          <w:sz w:val="22"/>
          <w:szCs w:val="22"/>
        </w:rPr>
        <w:t>PLoS</w:t>
      </w:r>
      <w:proofErr w:type="spellEnd"/>
      <w:r w:rsidRPr="007A2CE7">
        <w:rPr>
          <w:rFonts w:ascii="Arial" w:hAnsi="Arial" w:cs="Arial"/>
          <w:sz w:val="22"/>
          <w:szCs w:val="22"/>
        </w:rPr>
        <w:t xml:space="preserve"> Med. 2017;14:e1002340. doi:10.1371/journal.pmed.1002340. </w:t>
      </w:r>
    </w:p>
    <w:p w14:paraId="7725F185"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Peel TN, Astbury S, Cheng AC, et al. Multicentre randomised double-blind </w:t>
      </w:r>
      <w:proofErr w:type="gramStart"/>
      <w:r w:rsidRPr="007A2CE7">
        <w:rPr>
          <w:rFonts w:ascii="Arial" w:hAnsi="Arial" w:cs="Arial"/>
          <w:sz w:val="22"/>
          <w:szCs w:val="22"/>
        </w:rPr>
        <w:t>placebo controlled</w:t>
      </w:r>
      <w:proofErr w:type="gramEnd"/>
      <w:r w:rsidRPr="007A2CE7">
        <w:rPr>
          <w:rFonts w:ascii="Arial" w:hAnsi="Arial" w:cs="Arial"/>
          <w:sz w:val="22"/>
          <w:szCs w:val="22"/>
        </w:rPr>
        <w:t xml:space="preserve"> trial of combination vancomycin and cefazolin surgical antibiotic prophylaxis: the Australian Surgical Antibiotic Prophylaxis (ASAP) trial. BMJ Open. 2019;9:e033718. doi:10.1136/bmjopen-2019-033718. </w:t>
      </w:r>
    </w:p>
    <w:p w14:paraId="4FB780C1"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Villa JM, Pannu TS, Riesgo AM, Patel PD, Barsoum WK, Higuera CA. Dual antibiotic prophylaxis in total knee arthroplasty: where do we stand? J Knee Surg. 2019. doi:10.1055/s-0039-1695742. </w:t>
      </w:r>
    </w:p>
    <w:p w14:paraId="663C795E"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Peng Z, Lin X, Kuang X, Teng Z, Lu S. The application of topical vancomycin powder for the prevention of surgical site infections in primary total hip and knee arthroplasty: a meta-analysis. </w:t>
      </w:r>
      <w:proofErr w:type="spellStart"/>
      <w:r w:rsidRPr="007A2CE7">
        <w:rPr>
          <w:rFonts w:ascii="Arial" w:hAnsi="Arial" w:cs="Arial"/>
          <w:sz w:val="22"/>
          <w:szCs w:val="22"/>
        </w:rPr>
        <w:t>Orthop</w:t>
      </w:r>
      <w:proofErr w:type="spellEnd"/>
      <w:r w:rsidRPr="007A2CE7">
        <w:rPr>
          <w:rFonts w:ascii="Arial" w:hAnsi="Arial" w:cs="Arial"/>
          <w:sz w:val="22"/>
          <w:szCs w:val="22"/>
        </w:rPr>
        <w:t xml:space="preserve"> </w:t>
      </w:r>
      <w:proofErr w:type="spellStart"/>
      <w:r w:rsidRPr="007A2CE7">
        <w:rPr>
          <w:rFonts w:ascii="Arial" w:hAnsi="Arial" w:cs="Arial"/>
          <w:sz w:val="22"/>
          <w:szCs w:val="22"/>
        </w:rPr>
        <w:t>Traumatol</w:t>
      </w:r>
      <w:proofErr w:type="spellEnd"/>
      <w:r w:rsidRPr="007A2CE7">
        <w:rPr>
          <w:rFonts w:ascii="Arial" w:hAnsi="Arial" w:cs="Arial"/>
          <w:sz w:val="22"/>
          <w:szCs w:val="22"/>
        </w:rPr>
        <w:t xml:space="preserve"> Surg Res. 2021;107:102741. doi:10.1016/j.otsr.2020.09.006. </w:t>
      </w:r>
    </w:p>
    <w:p w14:paraId="73187CB9"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Gao J, Shu L, Jiang K, et al. Prophylactic use of vancomycin powder on postoperative infection after total joint arthroplasty. BMC </w:t>
      </w:r>
      <w:proofErr w:type="spellStart"/>
      <w:r w:rsidRPr="007A2CE7">
        <w:rPr>
          <w:rFonts w:ascii="Arial" w:hAnsi="Arial" w:cs="Arial"/>
          <w:sz w:val="22"/>
          <w:szCs w:val="22"/>
        </w:rPr>
        <w:t>Musculoskelet</w:t>
      </w:r>
      <w:proofErr w:type="spellEnd"/>
      <w:r w:rsidRPr="007A2CE7">
        <w:rPr>
          <w:rFonts w:ascii="Arial" w:hAnsi="Arial" w:cs="Arial"/>
          <w:sz w:val="22"/>
          <w:szCs w:val="22"/>
        </w:rPr>
        <w:t xml:space="preserve"> </w:t>
      </w:r>
      <w:proofErr w:type="spellStart"/>
      <w:r w:rsidRPr="007A2CE7">
        <w:rPr>
          <w:rFonts w:ascii="Arial" w:hAnsi="Arial" w:cs="Arial"/>
          <w:sz w:val="22"/>
          <w:szCs w:val="22"/>
        </w:rPr>
        <w:t>Disord</w:t>
      </w:r>
      <w:proofErr w:type="spellEnd"/>
      <w:r w:rsidRPr="007A2CE7">
        <w:rPr>
          <w:rFonts w:ascii="Arial" w:hAnsi="Arial" w:cs="Arial"/>
          <w:sz w:val="22"/>
          <w:szCs w:val="22"/>
        </w:rPr>
        <w:t xml:space="preserve">. 2024;25. doi:10.1186/s12891-023-07024-2. </w:t>
      </w:r>
    </w:p>
    <w:p w14:paraId="2B0731E0"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Mancino F, Yates P, Clark B, et al. Use of topical vancomycin powder in total joint arthroplasty: why the current literature is inconsistent? World J </w:t>
      </w:r>
      <w:proofErr w:type="spellStart"/>
      <w:r w:rsidRPr="007A2CE7">
        <w:rPr>
          <w:rFonts w:ascii="Arial" w:hAnsi="Arial" w:cs="Arial"/>
          <w:sz w:val="22"/>
          <w:szCs w:val="22"/>
        </w:rPr>
        <w:t>Orthop</w:t>
      </w:r>
      <w:proofErr w:type="spellEnd"/>
      <w:r w:rsidRPr="007A2CE7">
        <w:rPr>
          <w:rFonts w:ascii="Arial" w:hAnsi="Arial" w:cs="Arial"/>
          <w:sz w:val="22"/>
          <w:szCs w:val="22"/>
        </w:rPr>
        <w:t xml:space="preserve">. 2023;14:589-598. doi:10.5312/wjo.v14.i8.589. </w:t>
      </w:r>
    </w:p>
    <w:p w14:paraId="54BF9D24"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 </w:t>
      </w:r>
      <w:proofErr w:type="spellStart"/>
      <w:r w:rsidRPr="007A2CE7">
        <w:rPr>
          <w:rFonts w:ascii="Arial" w:hAnsi="Arial" w:cs="Arial"/>
          <w:sz w:val="22"/>
          <w:szCs w:val="22"/>
        </w:rPr>
        <w:t>Hinarejos</w:t>
      </w:r>
      <w:proofErr w:type="spellEnd"/>
      <w:r w:rsidRPr="007A2CE7">
        <w:rPr>
          <w:rFonts w:ascii="Arial" w:hAnsi="Arial" w:cs="Arial"/>
          <w:sz w:val="22"/>
          <w:szCs w:val="22"/>
        </w:rPr>
        <w:t xml:space="preserve"> P, </w:t>
      </w:r>
      <w:proofErr w:type="spellStart"/>
      <w:r w:rsidRPr="007A2CE7">
        <w:rPr>
          <w:rFonts w:ascii="Arial" w:hAnsi="Arial" w:cs="Arial"/>
          <w:sz w:val="22"/>
          <w:szCs w:val="22"/>
        </w:rPr>
        <w:t>Guirro</w:t>
      </w:r>
      <w:proofErr w:type="spellEnd"/>
      <w:r w:rsidRPr="007A2CE7">
        <w:rPr>
          <w:rFonts w:ascii="Arial" w:hAnsi="Arial" w:cs="Arial"/>
          <w:sz w:val="22"/>
          <w:szCs w:val="22"/>
        </w:rPr>
        <w:t xml:space="preserve"> P, Puig-Verdie L, Torres-</w:t>
      </w:r>
      <w:proofErr w:type="spellStart"/>
      <w:r w:rsidRPr="007A2CE7">
        <w:rPr>
          <w:rFonts w:ascii="Arial" w:hAnsi="Arial" w:cs="Arial"/>
          <w:sz w:val="22"/>
          <w:szCs w:val="22"/>
        </w:rPr>
        <w:t>Claramunt</w:t>
      </w:r>
      <w:proofErr w:type="spellEnd"/>
      <w:r w:rsidRPr="007A2CE7">
        <w:rPr>
          <w:rFonts w:ascii="Arial" w:hAnsi="Arial" w:cs="Arial"/>
          <w:sz w:val="22"/>
          <w:szCs w:val="22"/>
        </w:rPr>
        <w:t xml:space="preserve"> R, Leal-</w:t>
      </w:r>
      <w:proofErr w:type="spellStart"/>
      <w:r w:rsidRPr="007A2CE7">
        <w:rPr>
          <w:rFonts w:ascii="Arial" w:hAnsi="Arial" w:cs="Arial"/>
          <w:sz w:val="22"/>
          <w:szCs w:val="22"/>
        </w:rPr>
        <w:t>Blanquet</w:t>
      </w:r>
      <w:proofErr w:type="spellEnd"/>
      <w:r w:rsidRPr="007A2CE7">
        <w:rPr>
          <w:rFonts w:ascii="Arial" w:hAnsi="Arial" w:cs="Arial"/>
          <w:sz w:val="22"/>
          <w:szCs w:val="22"/>
        </w:rPr>
        <w:t xml:space="preserve"> J, Sanchez-Soler J, </w:t>
      </w:r>
      <w:proofErr w:type="spellStart"/>
      <w:r w:rsidRPr="007A2CE7">
        <w:rPr>
          <w:rFonts w:ascii="Arial" w:hAnsi="Arial" w:cs="Arial"/>
          <w:sz w:val="22"/>
          <w:szCs w:val="22"/>
        </w:rPr>
        <w:t>Monllau</w:t>
      </w:r>
      <w:proofErr w:type="spellEnd"/>
      <w:r w:rsidRPr="007A2CE7">
        <w:rPr>
          <w:rFonts w:ascii="Arial" w:hAnsi="Arial" w:cs="Arial"/>
          <w:sz w:val="22"/>
          <w:szCs w:val="22"/>
        </w:rPr>
        <w:t xml:space="preserve"> JC. Use of antibiotic-loaded cement in total knee arthroplasty. World J </w:t>
      </w:r>
      <w:proofErr w:type="spellStart"/>
      <w:r w:rsidRPr="007A2CE7">
        <w:rPr>
          <w:rFonts w:ascii="Arial" w:hAnsi="Arial" w:cs="Arial"/>
          <w:sz w:val="22"/>
          <w:szCs w:val="22"/>
        </w:rPr>
        <w:t>Orthop</w:t>
      </w:r>
      <w:proofErr w:type="spellEnd"/>
      <w:r w:rsidRPr="007A2CE7">
        <w:rPr>
          <w:rFonts w:ascii="Arial" w:hAnsi="Arial" w:cs="Arial"/>
          <w:sz w:val="22"/>
          <w:szCs w:val="22"/>
        </w:rPr>
        <w:t xml:space="preserve">. 2015;6:877-885. doi:10.5312/wjo.v6.i11.877. </w:t>
      </w:r>
    </w:p>
    <w:p w14:paraId="70C06996" w14:textId="77777777" w:rsidR="007A2CE7" w:rsidRPr="007A2CE7"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 xml:space="preserve">Young SW, Chen W, Clarke HD. Intraosseous regional prophylaxis in total knee arthroplasty. Bone Joint J. 2023;105-B:1141-1146. doi:10.1302/0301-620X.105B11.BJJ-2023-0708. </w:t>
      </w:r>
    </w:p>
    <w:p w14:paraId="7DE05A6C" w14:textId="4F83076B" w:rsidR="009717D1" w:rsidRDefault="007A2CE7" w:rsidP="007A2CE7">
      <w:pPr>
        <w:pStyle w:val="ListParagraph"/>
        <w:numPr>
          <w:ilvl w:val="0"/>
          <w:numId w:val="22"/>
        </w:numPr>
        <w:rPr>
          <w:rFonts w:ascii="Arial" w:hAnsi="Arial" w:cs="Arial"/>
          <w:sz w:val="22"/>
          <w:szCs w:val="22"/>
        </w:rPr>
      </w:pPr>
      <w:r w:rsidRPr="007A2CE7">
        <w:rPr>
          <w:rFonts w:ascii="Arial" w:hAnsi="Arial" w:cs="Arial"/>
          <w:sz w:val="22"/>
          <w:szCs w:val="22"/>
        </w:rPr>
        <w:t>Wells Z, Zhu M, Young SW. Intraosseous regional administration of prophylactic antibiotics in total knee arthroplasty. Antibiotics (Basel). 2022;11:634. doi:10.3390/antibiotics11050634.</w:t>
      </w:r>
    </w:p>
    <w:p w14:paraId="013EF1BC" w14:textId="77777777" w:rsidR="007A2CE7" w:rsidRDefault="007A2CE7" w:rsidP="007A2CE7">
      <w:pPr>
        <w:rPr>
          <w:rFonts w:ascii="Arial" w:hAnsi="Arial" w:cs="Arial"/>
          <w:sz w:val="22"/>
          <w:szCs w:val="22"/>
        </w:rPr>
      </w:pPr>
    </w:p>
    <w:p w14:paraId="55E9DB29" w14:textId="77777777" w:rsidR="007A2CE7" w:rsidRDefault="007A2CE7" w:rsidP="007A2CE7">
      <w:pPr>
        <w:rPr>
          <w:rFonts w:ascii="Arial" w:hAnsi="Arial" w:cs="Arial"/>
          <w:sz w:val="22"/>
          <w:szCs w:val="22"/>
        </w:rPr>
      </w:pPr>
    </w:p>
    <w:p w14:paraId="55504870" w14:textId="0B36BBB4" w:rsidR="007A2CE7" w:rsidRPr="007A2CE7" w:rsidRDefault="007A2CE7" w:rsidP="007A2CE7">
      <w:pPr>
        <w:rPr>
          <w:rFonts w:ascii="Arial" w:hAnsi="Arial" w:cs="Arial"/>
          <w:sz w:val="22"/>
          <w:szCs w:val="22"/>
        </w:rPr>
      </w:pPr>
    </w:p>
    <w:sectPr w:rsidR="007A2CE7" w:rsidRPr="007A2CE7" w:rsidSect="0019066F">
      <w:footerReference w:type="even" r:id="rId13"/>
      <w:footerReference w:type="default" r:id="rId14"/>
      <w:pgSz w:w="12240" w:h="15840"/>
      <w:pgMar w:top="1440" w:right="1440" w:bottom="1440" w:left="1440" w:header="708" w:footer="708" w:gutter="0"/>
      <w:lnNumType w:countBy="1" w:restart="continuous"/>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olpira Elmi Assadzadeh" w:date="2026-09-24T10:27:00Z" w:initials="GE">
    <w:p w14:paraId="42CBE943" w14:textId="0B7F20C7" w:rsidR="005866A4" w:rsidRDefault="005866A4">
      <w:pPr>
        <w:pStyle w:val="CommentText"/>
      </w:pPr>
      <w:r>
        <w:rPr>
          <w:rStyle w:val="CommentReference"/>
        </w:rPr>
        <w:annotationRef/>
      </w:r>
      <w:r>
        <w:t>Is this correct? I have it at 0.01</w:t>
      </w:r>
      <w:r>
        <w:rPr>
          <w:noProof/>
        </w:rPr>
        <w:drawing>
          <wp:inline distT="0" distB="0" distL="0" distR="0" wp14:anchorId="27192C5D" wp14:editId="66FA8053">
            <wp:extent cx="2875303" cy="1648832"/>
            <wp:effectExtent l="0" t="0" r="0" b="2540"/>
            <wp:docPr id="133425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54579" name="Picture 1334254579"/>
                    <pic:cNvPicPr/>
                  </pic:nvPicPr>
                  <pic:blipFill>
                    <a:blip r:embed="rId1">
                      <a:extLst>
                        <a:ext uri="{28A0092B-C50C-407E-A947-70E740481C1C}">
                          <a14:useLocalDpi xmlns:a14="http://schemas.microsoft.com/office/drawing/2010/main" val="0"/>
                        </a:ext>
                      </a:extLst>
                    </a:blip>
                    <a:stretch>
                      <a:fillRect/>
                    </a:stretch>
                  </pic:blipFill>
                  <pic:spPr>
                    <a:xfrm>
                      <a:off x="0" y="0"/>
                      <a:ext cx="2891080" cy="1657879"/>
                    </a:xfrm>
                    <a:prstGeom prst="rect">
                      <a:avLst/>
                    </a:prstGeom>
                  </pic:spPr>
                </pic:pic>
              </a:graphicData>
            </a:graphic>
          </wp:inline>
        </w:drawing>
      </w:r>
    </w:p>
  </w:comment>
  <w:comment w:id="1" w:author="Golpira Elmi Assadzadeh" w:date="2026-09-24T10:28:00Z" w:initials="GE">
    <w:p w14:paraId="2D616B31" w14:textId="01635287" w:rsidR="005866A4" w:rsidRDefault="005866A4">
      <w:pPr>
        <w:pStyle w:val="CommentText"/>
      </w:pPr>
      <w:r>
        <w:rPr>
          <w:rStyle w:val="CommentReference"/>
        </w:rPr>
        <w:annotationRef/>
      </w:r>
      <w:r>
        <w:t>Where are these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CBE943" w15:done="0"/>
  <w15:commentEx w15:paraId="2D616B3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45A4CDC" w16cex:dateUtc="2026-09-24T16:27:00Z"/>
  <w16cex:commentExtensible w16cex:durableId="49297B61" w16cex:dateUtc="2026-09-24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CBE943" w16cid:durableId="345A4CDC"/>
  <w16cid:commentId w16cid:paraId="2D616B31" w16cid:durableId="49297B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5CE32" w14:textId="77777777" w:rsidR="00B551BE" w:rsidRDefault="00B551BE" w:rsidP="0019066F">
      <w:pPr>
        <w:spacing w:after="0" w:line="240" w:lineRule="auto"/>
      </w:pPr>
      <w:r>
        <w:separator/>
      </w:r>
    </w:p>
  </w:endnote>
  <w:endnote w:type="continuationSeparator" w:id="0">
    <w:p w14:paraId="12A3D154" w14:textId="77777777" w:rsidR="00B551BE" w:rsidRDefault="00B551BE" w:rsidP="00190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76764177"/>
      <w:docPartObj>
        <w:docPartGallery w:val="Page Numbers (Bottom of Page)"/>
        <w:docPartUnique/>
      </w:docPartObj>
    </w:sdtPr>
    <w:sdtContent>
      <w:p w14:paraId="7BFF75FD" w14:textId="47F00F5C" w:rsidR="0019066F" w:rsidRDefault="0019066F" w:rsidP="001906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p>
    </w:sdtContent>
  </w:sdt>
  <w:p w14:paraId="0FCB0EB2" w14:textId="77777777" w:rsidR="0019066F" w:rsidRDefault="0019066F" w:rsidP="001906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22025180"/>
      <w:docPartObj>
        <w:docPartGallery w:val="Page Numbers (Bottom of Page)"/>
        <w:docPartUnique/>
      </w:docPartObj>
    </w:sdtPr>
    <w:sdtContent>
      <w:p w14:paraId="08A77BA9" w14:textId="7575C106" w:rsidR="0019066F" w:rsidRDefault="0019066F" w:rsidP="001906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24</w:t>
        </w:r>
        <w:r>
          <w:rPr>
            <w:rStyle w:val="PageNumber"/>
          </w:rPr>
          <w:fldChar w:fldCharType="end"/>
        </w:r>
      </w:p>
    </w:sdtContent>
  </w:sdt>
  <w:p w14:paraId="450FC28D" w14:textId="77777777" w:rsidR="0019066F" w:rsidRDefault="0019066F" w:rsidP="0019066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9B37B1" w14:textId="77777777" w:rsidR="00B551BE" w:rsidRDefault="00B551BE" w:rsidP="0019066F">
      <w:pPr>
        <w:spacing w:after="0" w:line="240" w:lineRule="auto"/>
      </w:pPr>
      <w:r>
        <w:separator/>
      </w:r>
    </w:p>
  </w:footnote>
  <w:footnote w:type="continuationSeparator" w:id="0">
    <w:p w14:paraId="060B3D6C" w14:textId="77777777" w:rsidR="00B551BE" w:rsidRDefault="00B551BE" w:rsidP="001906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6BD"/>
    <w:multiLevelType w:val="hybridMultilevel"/>
    <w:tmpl w:val="24E60112"/>
    <w:lvl w:ilvl="0" w:tplc="0409000F">
      <w:start w:val="1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47A0A"/>
    <w:multiLevelType w:val="hybridMultilevel"/>
    <w:tmpl w:val="652A540A"/>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72934"/>
    <w:multiLevelType w:val="multilevel"/>
    <w:tmpl w:val="E31E9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EC5499"/>
    <w:multiLevelType w:val="hybridMultilevel"/>
    <w:tmpl w:val="372038BC"/>
    <w:lvl w:ilvl="0" w:tplc="9B466A6C">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943191"/>
    <w:multiLevelType w:val="hybridMultilevel"/>
    <w:tmpl w:val="C12E9346"/>
    <w:lvl w:ilvl="0" w:tplc="52064296">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3100C4"/>
    <w:multiLevelType w:val="hybridMultilevel"/>
    <w:tmpl w:val="1FF0C27E"/>
    <w:lvl w:ilvl="0" w:tplc="0409000F">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1C0B0A"/>
    <w:multiLevelType w:val="hybridMultilevel"/>
    <w:tmpl w:val="6E9249DC"/>
    <w:lvl w:ilvl="0" w:tplc="52064296">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2258C0"/>
    <w:multiLevelType w:val="hybridMultilevel"/>
    <w:tmpl w:val="720816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B2F490E"/>
    <w:multiLevelType w:val="hybridMultilevel"/>
    <w:tmpl w:val="10088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C57761"/>
    <w:multiLevelType w:val="hybridMultilevel"/>
    <w:tmpl w:val="4DC6FFF6"/>
    <w:lvl w:ilvl="0" w:tplc="52064296">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E212AA0"/>
    <w:multiLevelType w:val="hybridMultilevel"/>
    <w:tmpl w:val="E50A5F64"/>
    <w:lvl w:ilvl="0" w:tplc="52064296">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108172E"/>
    <w:multiLevelType w:val="hybridMultilevel"/>
    <w:tmpl w:val="66A07A6E"/>
    <w:lvl w:ilvl="0" w:tplc="64FC73A8">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201376"/>
    <w:multiLevelType w:val="multilevel"/>
    <w:tmpl w:val="B66E4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4B1A0A"/>
    <w:multiLevelType w:val="hybridMultilevel"/>
    <w:tmpl w:val="6A780F3C"/>
    <w:lvl w:ilvl="0" w:tplc="2A5EA236">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FA1D58"/>
    <w:multiLevelType w:val="hybridMultilevel"/>
    <w:tmpl w:val="652A540A"/>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BB4DE2"/>
    <w:multiLevelType w:val="hybridMultilevel"/>
    <w:tmpl w:val="58228792"/>
    <w:lvl w:ilvl="0" w:tplc="52064296">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9E4D7A"/>
    <w:multiLevelType w:val="hybridMultilevel"/>
    <w:tmpl w:val="FD6CE316"/>
    <w:lvl w:ilvl="0" w:tplc="52064296">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9692C50"/>
    <w:multiLevelType w:val="multilevel"/>
    <w:tmpl w:val="62606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C0325C"/>
    <w:multiLevelType w:val="hybridMultilevel"/>
    <w:tmpl w:val="208E65D0"/>
    <w:lvl w:ilvl="0" w:tplc="101455C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21665E"/>
    <w:multiLevelType w:val="hybridMultilevel"/>
    <w:tmpl w:val="BC7C6982"/>
    <w:lvl w:ilvl="0" w:tplc="52064296">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F7334E9"/>
    <w:multiLevelType w:val="hybridMultilevel"/>
    <w:tmpl w:val="21EE1892"/>
    <w:lvl w:ilvl="0" w:tplc="52064296">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F873344"/>
    <w:multiLevelType w:val="multilevel"/>
    <w:tmpl w:val="FC9EB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6501508">
    <w:abstractNumId w:val="2"/>
  </w:num>
  <w:num w:numId="2" w16cid:durableId="11610070">
    <w:abstractNumId w:val="14"/>
  </w:num>
  <w:num w:numId="3" w16cid:durableId="1993560550">
    <w:abstractNumId w:val="17"/>
  </w:num>
  <w:num w:numId="4" w16cid:durableId="2013679961">
    <w:abstractNumId w:val="12"/>
  </w:num>
  <w:num w:numId="5" w16cid:durableId="1271086164">
    <w:abstractNumId w:val="21"/>
  </w:num>
  <w:num w:numId="6" w16cid:durableId="1684278995">
    <w:abstractNumId w:val="15"/>
  </w:num>
  <w:num w:numId="7" w16cid:durableId="139276398">
    <w:abstractNumId w:val="6"/>
  </w:num>
  <w:num w:numId="8" w16cid:durableId="57942956">
    <w:abstractNumId w:val="9"/>
  </w:num>
  <w:num w:numId="9" w16cid:durableId="1319501982">
    <w:abstractNumId w:val="16"/>
  </w:num>
  <w:num w:numId="10" w16cid:durableId="2078700061">
    <w:abstractNumId w:val="4"/>
  </w:num>
  <w:num w:numId="11" w16cid:durableId="1658026438">
    <w:abstractNumId w:val="19"/>
  </w:num>
  <w:num w:numId="12" w16cid:durableId="855003986">
    <w:abstractNumId w:val="10"/>
  </w:num>
  <w:num w:numId="13" w16cid:durableId="1141658906">
    <w:abstractNumId w:val="20"/>
  </w:num>
  <w:num w:numId="14" w16cid:durableId="1371032410">
    <w:abstractNumId w:val="18"/>
  </w:num>
  <w:num w:numId="15" w16cid:durableId="675770885">
    <w:abstractNumId w:val="1"/>
  </w:num>
  <w:num w:numId="16" w16cid:durableId="587466855">
    <w:abstractNumId w:val="8"/>
  </w:num>
  <w:num w:numId="17" w16cid:durableId="1145123550">
    <w:abstractNumId w:val="7"/>
  </w:num>
  <w:num w:numId="18" w16cid:durableId="1721972290">
    <w:abstractNumId w:val="11"/>
  </w:num>
  <w:num w:numId="19" w16cid:durableId="1050422781">
    <w:abstractNumId w:val="5"/>
  </w:num>
  <w:num w:numId="20" w16cid:durableId="525826669">
    <w:abstractNumId w:val="0"/>
  </w:num>
  <w:num w:numId="21" w16cid:durableId="1272206506">
    <w:abstractNumId w:val="3"/>
  </w:num>
  <w:num w:numId="22" w16cid:durableId="164928527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olpira Elmi Assadzadeh">
    <w15:presenceInfo w15:providerId="AD" w15:userId="S::golpira.elmiassadzad@ucalgary.ca::f9566ed6-c256-4e90-ad95-36a7413411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D5F"/>
    <w:rsid w:val="00014B57"/>
    <w:rsid w:val="00061FC1"/>
    <w:rsid w:val="00066CAA"/>
    <w:rsid w:val="00073490"/>
    <w:rsid w:val="00087EB8"/>
    <w:rsid w:val="00097E68"/>
    <w:rsid w:val="000D417E"/>
    <w:rsid w:val="000D4A41"/>
    <w:rsid w:val="000E679E"/>
    <w:rsid w:val="000F0E32"/>
    <w:rsid w:val="00104D30"/>
    <w:rsid w:val="00116B52"/>
    <w:rsid w:val="001512F4"/>
    <w:rsid w:val="00161A20"/>
    <w:rsid w:val="001625C8"/>
    <w:rsid w:val="0019066F"/>
    <w:rsid w:val="00191949"/>
    <w:rsid w:val="001A1C30"/>
    <w:rsid w:val="001A49D7"/>
    <w:rsid w:val="00200CBE"/>
    <w:rsid w:val="00210F59"/>
    <w:rsid w:val="00240B97"/>
    <w:rsid w:val="002560E3"/>
    <w:rsid w:val="002618CB"/>
    <w:rsid w:val="00274457"/>
    <w:rsid w:val="0029275A"/>
    <w:rsid w:val="002A30CE"/>
    <w:rsid w:val="002A3AEA"/>
    <w:rsid w:val="0031758A"/>
    <w:rsid w:val="0033147F"/>
    <w:rsid w:val="00332FCF"/>
    <w:rsid w:val="00336A8B"/>
    <w:rsid w:val="00340EF3"/>
    <w:rsid w:val="003445C2"/>
    <w:rsid w:val="00382B56"/>
    <w:rsid w:val="00397AD3"/>
    <w:rsid w:val="003A6BA9"/>
    <w:rsid w:val="003B6752"/>
    <w:rsid w:val="003C3813"/>
    <w:rsid w:val="003C3DEE"/>
    <w:rsid w:val="003E034D"/>
    <w:rsid w:val="003F3526"/>
    <w:rsid w:val="004026FC"/>
    <w:rsid w:val="00447F6A"/>
    <w:rsid w:val="0045049B"/>
    <w:rsid w:val="0045560A"/>
    <w:rsid w:val="00455CC7"/>
    <w:rsid w:val="004F09E5"/>
    <w:rsid w:val="004F1556"/>
    <w:rsid w:val="004F6081"/>
    <w:rsid w:val="005043E5"/>
    <w:rsid w:val="005176AB"/>
    <w:rsid w:val="00556913"/>
    <w:rsid w:val="00562C95"/>
    <w:rsid w:val="0056593A"/>
    <w:rsid w:val="00582EA8"/>
    <w:rsid w:val="005866A4"/>
    <w:rsid w:val="005C107A"/>
    <w:rsid w:val="005C144E"/>
    <w:rsid w:val="005E237F"/>
    <w:rsid w:val="005E4D60"/>
    <w:rsid w:val="006029A4"/>
    <w:rsid w:val="00605D6E"/>
    <w:rsid w:val="0061771C"/>
    <w:rsid w:val="0062144A"/>
    <w:rsid w:val="006242C7"/>
    <w:rsid w:val="006329EB"/>
    <w:rsid w:val="00671960"/>
    <w:rsid w:val="00690FF4"/>
    <w:rsid w:val="006B5C6A"/>
    <w:rsid w:val="006E0588"/>
    <w:rsid w:val="006E7295"/>
    <w:rsid w:val="00730C24"/>
    <w:rsid w:val="00732F49"/>
    <w:rsid w:val="00773BDE"/>
    <w:rsid w:val="007A213C"/>
    <w:rsid w:val="007A2BC0"/>
    <w:rsid w:val="007A2CE7"/>
    <w:rsid w:val="007B2CBC"/>
    <w:rsid w:val="007D4C6D"/>
    <w:rsid w:val="007D5A54"/>
    <w:rsid w:val="007E7478"/>
    <w:rsid w:val="007F48A9"/>
    <w:rsid w:val="008019DF"/>
    <w:rsid w:val="0080549C"/>
    <w:rsid w:val="008173DE"/>
    <w:rsid w:val="00821B2F"/>
    <w:rsid w:val="008259ED"/>
    <w:rsid w:val="00830878"/>
    <w:rsid w:val="0084033B"/>
    <w:rsid w:val="00855060"/>
    <w:rsid w:val="00866262"/>
    <w:rsid w:val="008A3D5F"/>
    <w:rsid w:val="008A3F41"/>
    <w:rsid w:val="008B6CA7"/>
    <w:rsid w:val="008C526F"/>
    <w:rsid w:val="008F3E82"/>
    <w:rsid w:val="009617A5"/>
    <w:rsid w:val="009640A9"/>
    <w:rsid w:val="009717D1"/>
    <w:rsid w:val="00971D5A"/>
    <w:rsid w:val="009A00E9"/>
    <w:rsid w:val="009A1204"/>
    <w:rsid w:val="009F4209"/>
    <w:rsid w:val="009F555F"/>
    <w:rsid w:val="00A0541A"/>
    <w:rsid w:val="00A14EC5"/>
    <w:rsid w:val="00A355DC"/>
    <w:rsid w:val="00A51A50"/>
    <w:rsid w:val="00A754EF"/>
    <w:rsid w:val="00A77B5C"/>
    <w:rsid w:val="00A80ACF"/>
    <w:rsid w:val="00AA5674"/>
    <w:rsid w:val="00AA77FA"/>
    <w:rsid w:val="00AB602D"/>
    <w:rsid w:val="00AC3AE3"/>
    <w:rsid w:val="00AC58DE"/>
    <w:rsid w:val="00AE1B92"/>
    <w:rsid w:val="00AE3C7D"/>
    <w:rsid w:val="00B066D3"/>
    <w:rsid w:val="00B40F7D"/>
    <w:rsid w:val="00B5026E"/>
    <w:rsid w:val="00B551BE"/>
    <w:rsid w:val="00B65AEC"/>
    <w:rsid w:val="00B82616"/>
    <w:rsid w:val="00BB392C"/>
    <w:rsid w:val="00BE65D3"/>
    <w:rsid w:val="00C10131"/>
    <w:rsid w:val="00C25990"/>
    <w:rsid w:val="00C31CAC"/>
    <w:rsid w:val="00C326B0"/>
    <w:rsid w:val="00C465D3"/>
    <w:rsid w:val="00C4687E"/>
    <w:rsid w:val="00C64945"/>
    <w:rsid w:val="00C86D35"/>
    <w:rsid w:val="00C9400C"/>
    <w:rsid w:val="00C96D0E"/>
    <w:rsid w:val="00CB7037"/>
    <w:rsid w:val="00D03755"/>
    <w:rsid w:val="00D06ACF"/>
    <w:rsid w:val="00D40AF3"/>
    <w:rsid w:val="00D82C1F"/>
    <w:rsid w:val="00D9013C"/>
    <w:rsid w:val="00D93C18"/>
    <w:rsid w:val="00D948AD"/>
    <w:rsid w:val="00DB09B7"/>
    <w:rsid w:val="00DB44BE"/>
    <w:rsid w:val="00DB7148"/>
    <w:rsid w:val="00DF35A3"/>
    <w:rsid w:val="00DF3E96"/>
    <w:rsid w:val="00E049C8"/>
    <w:rsid w:val="00E35447"/>
    <w:rsid w:val="00E70ADA"/>
    <w:rsid w:val="00E71468"/>
    <w:rsid w:val="00E94258"/>
    <w:rsid w:val="00EF3C73"/>
    <w:rsid w:val="00F0735D"/>
    <w:rsid w:val="00F23E1A"/>
    <w:rsid w:val="00F24112"/>
    <w:rsid w:val="00F36FB2"/>
    <w:rsid w:val="00F373B0"/>
    <w:rsid w:val="00F72D5F"/>
    <w:rsid w:val="00F851DE"/>
    <w:rsid w:val="00F966EE"/>
    <w:rsid w:val="00FA3FE9"/>
    <w:rsid w:val="00FF632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D71AF"/>
  <w15:chartTrackingRefBased/>
  <w15:docId w15:val="{C6C89D5C-E1D3-9A4F-ABB2-D0C010CCB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CE7"/>
  </w:style>
  <w:style w:type="paragraph" w:styleId="Heading1">
    <w:name w:val="heading 1"/>
    <w:basedOn w:val="Normal"/>
    <w:next w:val="Normal"/>
    <w:link w:val="Heading1Char"/>
    <w:uiPriority w:val="9"/>
    <w:qFormat/>
    <w:rsid w:val="008A3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D5F"/>
    <w:rPr>
      <w:rFonts w:eastAsiaTheme="majorEastAsia" w:cstheme="majorBidi"/>
      <w:color w:val="272727" w:themeColor="text1" w:themeTint="D8"/>
    </w:rPr>
  </w:style>
  <w:style w:type="paragraph" w:styleId="Title">
    <w:name w:val="Title"/>
    <w:basedOn w:val="Normal"/>
    <w:next w:val="Normal"/>
    <w:link w:val="TitleChar"/>
    <w:uiPriority w:val="10"/>
    <w:qFormat/>
    <w:rsid w:val="008A3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D5F"/>
    <w:pPr>
      <w:spacing w:before="160"/>
      <w:jc w:val="center"/>
    </w:pPr>
    <w:rPr>
      <w:i/>
      <w:iCs/>
      <w:color w:val="404040" w:themeColor="text1" w:themeTint="BF"/>
    </w:rPr>
  </w:style>
  <w:style w:type="character" w:customStyle="1" w:styleId="QuoteChar">
    <w:name w:val="Quote Char"/>
    <w:basedOn w:val="DefaultParagraphFont"/>
    <w:link w:val="Quote"/>
    <w:uiPriority w:val="29"/>
    <w:rsid w:val="008A3D5F"/>
    <w:rPr>
      <w:i/>
      <w:iCs/>
      <w:color w:val="404040" w:themeColor="text1" w:themeTint="BF"/>
    </w:rPr>
  </w:style>
  <w:style w:type="paragraph" w:styleId="ListParagraph">
    <w:name w:val="List Paragraph"/>
    <w:basedOn w:val="Normal"/>
    <w:uiPriority w:val="34"/>
    <w:qFormat/>
    <w:rsid w:val="008A3D5F"/>
    <w:pPr>
      <w:ind w:left="720"/>
      <w:contextualSpacing/>
    </w:pPr>
  </w:style>
  <w:style w:type="character" w:styleId="IntenseEmphasis">
    <w:name w:val="Intense Emphasis"/>
    <w:basedOn w:val="DefaultParagraphFont"/>
    <w:uiPriority w:val="21"/>
    <w:qFormat/>
    <w:rsid w:val="008A3D5F"/>
    <w:rPr>
      <w:i/>
      <w:iCs/>
      <w:color w:val="0F4761" w:themeColor="accent1" w:themeShade="BF"/>
    </w:rPr>
  </w:style>
  <w:style w:type="paragraph" w:styleId="IntenseQuote">
    <w:name w:val="Intense Quote"/>
    <w:basedOn w:val="Normal"/>
    <w:next w:val="Normal"/>
    <w:link w:val="IntenseQuoteChar"/>
    <w:uiPriority w:val="30"/>
    <w:qFormat/>
    <w:rsid w:val="008A3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D5F"/>
    <w:rPr>
      <w:i/>
      <w:iCs/>
      <w:color w:val="0F4761" w:themeColor="accent1" w:themeShade="BF"/>
    </w:rPr>
  </w:style>
  <w:style w:type="character" w:styleId="IntenseReference">
    <w:name w:val="Intense Reference"/>
    <w:basedOn w:val="DefaultParagraphFont"/>
    <w:uiPriority w:val="32"/>
    <w:qFormat/>
    <w:rsid w:val="008A3D5F"/>
    <w:rPr>
      <w:b/>
      <w:bCs/>
      <w:smallCaps/>
      <w:color w:val="0F4761" w:themeColor="accent1" w:themeShade="BF"/>
      <w:spacing w:val="5"/>
    </w:rPr>
  </w:style>
  <w:style w:type="character" w:styleId="Hyperlink">
    <w:name w:val="Hyperlink"/>
    <w:basedOn w:val="DefaultParagraphFont"/>
    <w:uiPriority w:val="99"/>
    <w:unhideWhenUsed/>
    <w:rsid w:val="008A3D5F"/>
    <w:rPr>
      <w:color w:val="467886" w:themeColor="hyperlink"/>
      <w:u w:val="single"/>
    </w:rPr>
  </w:style>
  <w:style w:type="character" w:styleId="UnresolvedMention">
    <w:name w:val="Unresolved Mention"/>
    <w:basedOn w:val="DefaultParagraphFont"/>
    <w:uiPriority w:val="99"/>
    <w:semiHidden/>
    <w:unhideWhenUsed/>
    <w:rsid w:val="008A3D5F"/>
    <w:rPr>
      <w:color w:val="605E5C"/>
      <w:shd w:val="clear" w:color="auto" w:fill="E1DFDD"/>
    </w:rPr>
  </w:style>
  <w:style w:type="character" w:customStyle="1" w:styleId="al-author-delim">
    <w:name w:val="al-author-delim"/>
    <w:basedOn w:val="DefaultParagraphFont"/>
    <w:rsid w:val="0062144A"/>
  </w:style>
  <w:style w:type="character" w:styleId="Emphasis">
    <w:name w:val="Emphasis"/>
    <w:basedOn w:val="DefaultParagraphFont"/>
    <w:uiPriority w:val="20"/>
    <w:qFormat/>
    <w:rsid w:val="0062144A"/>
    <w:rPr>
      <w:i/>
      <w:iCs/>
    </w:rPr>
  </w:style>
  <w:style w:type="character" w:customStyle="1" w:styleId="citation-4">
    <w:name w:val="citation-4"/>
    <w:basedOn w:val="DefaultParagraphFont"/>
    <w:rsid w:val="00F36FB2"/>
  </w:style>
  <w:style w:type="table" w:styleId="TableGrid">
    <w:name w:val="Table Grid"/>
    <w:basedOn w:val="TableNormal"/>
    <w:uiPriority w:val="39"/>
    <w:rsid w:val="00F36F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9640A9"/>
    <w:pPr>
      <w:spacing w:after="0" w:line="240" w:lineRule="auto"/>
    </w:pPr>
    <w:rPr>
      <w:rFonts w:ascii="Calibri" w:eastAsia="Times New Roman" w:hAnsi="Calibri" w:cs="Calibri"/>
      <w:color w:val="000000"/>
      <w:kern w:val="0"/>
      <w:sz w:val="18"/>
      <w:szCs w:val="18"/>
      <w14:ligatures w14:val="none"/>
    </w:rPr>
  </w:style>
  <w:style w:type="paragraph" w:customStyle="1" w:styleId="p2">
    <w:name w:val="p2"/>
    <w:basedOn w:val="Normal"/>
    <w:rsid w:val="009640A9"/>
    <w:pPr>
      <w:spacing w:after="0" w:line="240" w:lineRule="auto"/>
    </w:pPr>
    <w:rPr>
      <w:rFonts w:ascii="Arial" w:eastAsia="Times New Roman" w:hAnsi="Arial" w:cs="Arial"/>
      <w:color w:val="141413"/>
      <w:kern w:val="0"/>
      <w:sz w:val="66"/>
      <w:szCs w:val="66"/>
      <w14:ligatures w14:val="none"/>
    </w:rPr>
  </w:style>
  <w:style w:type="paragraph" w:styleId="NormalWeb">
    <w:name w:val="Normal (Web)"/>
    <w:basedOn w:val="Normal"/>
    <w:uiPriority w:val="99"/>
    <w:unhideWhenUsed/>
    <w:rsid w:val="00F966E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191949"/>
  </w:style>
  <w:style w:type="paragraph" w:styleId="Header">
    <w:name w:val="header"/>
    <w:basedOn w:val="Normal"/>
    <w:link w:val="HeaderChar"/>
    <w:uiPriority w:val="99"/>
    <w:unhideWhenUsed/>
    <w:rsid w:val="00F24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112"/>
  </w:style>
  <w:style w:type="paragraph" w:styleId="Footer">
    <w:name w:val="footer"/>
    <w:basedOn w:val="Normal"/>
    <w:link w:val="FooterChar"/>
    <w:uiPriority w:val="99"/>
    <w:unhideWhenUsed/>
    <w:rsid w:val="00F241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4112"/>
  </w:style>
  <w:style w:type="character" w:styleId="Strong">
    <w:name w:val="Strong"/>
    <w:basedOn w:val="DefaultParagraphFont"/>
    <w:uiPriority w:val="22"/>
    <w:qFormat/>
    <w:rsid w:val="00F24112"/>
    <w:rPr>
      <w:b/>
      <w:bCs/>
    </w:rPr>
  </w:style>
  <w:style w:type="character" w:customStyle="1" w:styleId="apple-converted-space">
    <w:name w:val="apple-converted-space"/>
    <w:basedOn w:val="DefaultParagraphFont"/>
    <w:rsid w:val="00F24112"/>
  </w:style>
  <w:style w:type="paragraph" w:styleId="Revision">
    <w:name w:val="Revision"/>
    <w:hidden/>
    <w:uiPriority w:val="99"/>
    <w:semiHidden/>
    <w:rsid w:val="00F24112"/>
    <w:pPr>
      <w:spacing w:after="0" w:line="240" w:lineRule="auto"/>
    </w:pPr>
  </w:style>
  <w:style w:type="character" w:styleId="LineNumber">
    <w:name w:val="line number"/>
    <w:basedOn w:val="DefaultParagraphFont"/>
    <w:uiPriority w:val="99"/>
    <w:semiHidden/>
    <w:unhideWhenUsed/>
    <w:rsid w:val="00F24112"/>
  </w:style>
  <w:style w:type="character" w:styleId="CommentReference">
    <w:name w:val="annotation reference"/>
    <w:basedOn w:val="DefaultParagraphFont"/>
    <w:uiPriority w:val="99"/>
    <w:semiHidden/>
    <w:unhideWhenUsed/>
    <w:rsid w:val="007A2BC0"/>
    <w:rPr>
      <w:sz w:val="16"/>
      <w:szCs w:val="16"/>
    </w:rPr>
  </w:style>
  <w:style w:type="paragraph" w:styleId="CommentText">
    <w:name w:val="annotation text"/>
    <w:basedOn w:val="Normal"/>
    <w:link w:val="CommentTextChar"/>
    <w:uiPriority w:val="99"/>
    <w:semiHidden/>
    <w:unhideWhenUsed/>
    <w:rsid w:val="007A2BC0"/>
    <w:pPr>
      <w:spacing w:line="240" w:lineRule="auto"/>
    </w:pPr>
    <w:rPr>
      <w:sz w:val="20"/>
      <w:szCs w:val="20"/>
    </w:rPr>
  </w:style>
  <w:style w:type="character" w:customStyle="1" w:styleId="CommentTextChar">
    <w:name w:val="Comment Text Char"/>
    <w:basedOn w:val="DefaultParagraphFont"/>
    <w:link w:val="CommentText"/>
    <w:uiPriority w:val="99"/>
    <w:semiHidden/>
    <w:rsid w:val="007A2BC0"/>
    <w:rPr>
      <w:sz w:val="20"/>
      <w:szCs w:val="20"/>
    </w:rPr>
  </w:style>
  <w:style w:type="character" w:styleId="PageNumber">
    <w:name w:val="page number"/>
    <w:basedOn w:val="DefaultParagraphFont"/>
    <w:uiPriority w:val="99"/>
    <w:semiHidden/>
    <w:unhideWhenUsed/>
    <w:rsid w:val="0019066F"/>
  </w:style>
  <w:style w:type="character" w:styleId="FollowedHyperlink">
    <w:name w:val="FollowedHyperlink"/>
    <w:basedOn w:val="DefaultParagraphFont"/>
    <w:uiPriority w:val="99"/>
    <w:semiHidden/>
    <w:unhideWhenUsed/>
    <w:rsid w:val="007A2CE7"/>
    <w:rPr>
      <w:color w:val="96607D" w:themeColor="followedHyperlink"/>
      <w:u w:val="single"/>
    </w:rPr>
  </w:style>
  <w:style w:type="paragraph" w:customStyle="1" w:styleId="pdq2pgselectionanchorcontainer">
    <w:name w:val="pdq2pg_selectionanchorcontainer"/>
    <w:basedOn w:val="Normal"/>
    <w:rsid w:val="009A120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8259ED"/>
    <w:pPr>
      <w:spacing w:after="0" w:line="240" w:lineRule="auto"/>
    </w:pPr>
  </w:style>
  <w:style w:type="paragraph" w:styleId="CommentSubject">
    <w:name w:val="annotation subject"/>
    <w:basedOn w:val="CommentText"/>
    <w:next w:val="CommentText"/>
    <w:link w:val="CommentSubjectChar"/>
    <w:uiPriority w:val="99"/>
    <w:semiHidden/>
    <w:unhideWhenUsed/>
    <w:rsid w:val="005866A4"/>
    <w:rPr>
      <w:b/>
      <w:bCs/>
    </w:rPr>
  </w:style>
  <w:style w:type="character" w:customStyle="1" w:styleId="CommentSubjectChar">
    <w:name w:val="Comment Subject Char"/>
    <w:basedOn w:val="CommentTextChar"/>
    <w:link w:val="CommentSubject"/>
    <w:uiPriority w:val="99"/>
    <w:semiHidden/>
    <w:rsid w:val="005866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enjamin.wajda@ucalgary.ca" TargetMode="External"/><Relationship Id="rId12" Type="http://schemas.openxmlformats.org/officeDocument/2006/relationships/hyperlink" Target="http://www.ohri.ca/programs/clinical_epidemiology/oxford.asp"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886</TotalTime>
  <Pages>15</Pages>
  <Words>5094</Words>
  <Characters>29039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Wajda</dc:creator>
  <cp:keywords/>
  <dc:description/>
  <cp:lastModifiedBy>Golpira Elmi Assadzadeh</cp:lastModifiedBy>
  <cp:revision>47</cp:revision>
  <dcterms:created xsi:type="dcterms:W3CDTF">2026-08-07T03:49:00Z</dcterms:created>
  <dcterms:modified xsi:type="dcterms:W3CDTF">2026-09-24T16:29:00Z</dcterms:modified>
</cp:coreProperties>
</file>