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F2FD0" w14:textId="6782DE3B" w:rsidR="00713301" w:rsidRPr="00713301" w:rsidRDefault="00713301" w:rsidP="00713301">
      <w:pPr>
        <w:rPr>
          <w:rFonts w:ascii="Arial" w:hAnsi="Arial" w:cs="Arial"/>
          <w:b/>
          <w:bCs/>
          <w:sz w:val="22"/>
          <w:szCs w:val="22"/>
        </w:rPr>
      </w:pPr>
      <w:r w:rsidRPr="00713301">
        <w:rPr>
          <w:rFonts w:ascii="Arial" w:hAnsi="Arial" w:cs="Arial"/>
          <w:b/>
          <w:bCs/>
          <w:sz w:val="22"/>
          <w:szCs w:val="22"/>
        </w:rPr>
        <w:t>Figure Legend:</w:t>
      </w:r>
    </w:p>
    <w:p w14:paraId="35BBA6DA" w14:textId="77777777" w:rsidR="00713301" w:rsidRPr="00713301" w:rsidRDefault="00713301" w:rsidP="00713301">
      <w:pPr>
        <w:rPr>
          <w:rFonts w:ascii="Arial" w:hAnsi="Arial" w:cs="Arial"/>
          <w:sz w:val="22"/>
          <w:szCs w:val="22"/>
        </w:rPr>
      </w:pPr>
    </w:p>
    <w:p w14:paraId="6B0A10E5" w14:textId="64DF9B31" w:rsidR="00713301" w:rsidRPr="00555089" w:rsidRDefault="00713301" w:rsidP="00713301">
      <w:pPr>
        <w:rPr>
          <w:rFonts w:ascii="Arial" w:hAnsi="Arial" w:cs="Arial"/>
          <w:sz w:val="22"/>
          <w:szCs w:val="22"/>
        </w:rPr>
      </w:pPr>
      <w:r w:rsidRPr="00555089">
        <w:rPr>
          <w:rFonts w:ascii="Arial" w:hAnsi="Arial" w:cs="Arial"/>
          <w:b/>
          <w:bCs/>
          <w:sz w:val="22"/>
          <w:szCs w:val="22"/>
        </w:rPr>
        <w:t xml:space="preserve">Figure 1: </w:t>
      </w:r>
      <w:r w:rsidRPr="00555089">
        <w:rPr>
          <w:rFonts w:ascii="Arial" w:hAnsi="Arial" w:cs="Arial"/>
          <w:sz w:val="22"/>
          <w:szCs w:val="22"/>
        </w:rPr>
        <w:t>PRISMA flow diagram of study identification, screening, eligibility assessment, and inclusion</w:t>
      </w:r>
      <w:r>
        <w:rPr>
          <w:rFonts w:ascii="Arial" w:hAnsi="Arial" w:cs="Arial"/>
          <w:sz w:val="22"/>
          <w:szCs w:val="22"/>
        </w:rPr>
        <w:t xml:space="preserve"> for meta-analysis and systematic review of vancomycin administration methods for PJI prophylaxis in total knee arthroplasty patients. </w:t>
      </w:r>
    </w:p>
    <w:p w14:paraId="7C370AD6" w14:textId="0A50623A" w:rsidR="00713301" w:rsidRPr="00555089" w:rsidRDefault="00713301" w:rsidP="00713301">
      <w:pPr>
        <w:rPr>
          <w:rFonts w:ascii="Arial" w:hAnsi="Arial" w:cs="Arial"/>
          <w:sz w:val="22"/>
          <w:szCs w:val="22"/>
        </w:rPr>
      </w:pPr>
      <w:r w:rsidRPr="00555089">
        <w:rPr>
          <w:rFonts w:ascii="Arial" w:hAnsi="Arial" w:cs="Arial"/>
          <w:b/>
          <w:bCs/>
          <w:sz w:val="22"/>
          <w:szCs w:val="22"/>
        </w:rPr>
        <w:t xml:space="preserve">Figure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555089">
        <w:rPr>
          <w:rFonts w:ascii="Arial" w:hAnsi="Arial" w:cs="Arial"/>
          <w:b/>
          <w:bCs/>
          <w:sz w:val="22"/>
          <w:szCs w:val="22"/>
        </w:rPr>
        <w:t>:</w:t>
      </w:r>
      <w:r w:rsidRPr="0055508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Risk of bias assessment for included randomized controlled trials (Cochrane RoB-2) and non-randomized studies (ROBINS-I).</w:t>
      </w:r>
    </w:p>
    <w:p w14:paraId="66A7B84A" w14:textId="58EC3CA1" w:rsidR="00713301" w:rsidRPr="00555089" w:rsidRDefault="00713301" w:rsidP="00713301">
      <w:pPr>
        <w:tabs>
          <w:tab w:val="left" w:pos="33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Figure 3</w:t>
      </w:r>
      <w:r w:rsidRPr="00555089">
        <w:rPr>
          <w:rFonts w:ascii="Arial" w:hAnsi="Arial" w:cs="Arial"/>
          <w:b/>
          <w:bCs/>
          <w:sz w:val="22"/>
          <w:szCs w:val="22"/>
        </w:rPr>
        <w:t xml:space="preserve">: </w:t>
      </w:r>
      <w:r w:rsidRPr="00713301">
        <w:rPr>
          <w:rFonts w:ascii="Arial" w:hAnsi="Arial" w:cs="Arial"/>
          <w:sz w:val="22"/>
          <w:szCs w:val="22"/>
        </w:rPr>
        <w:t>Newcastle-Ottawa Scale (NOS) risk-of-bias assessment for the 12 non-randomized studies of vancomycin administration in total knee arthroplasty</w:t>
      </w:r>
    </w:p>
    <w:p w14:paraId="5A799361" w14:textId="6EF93646" w:rsidR="00713301" w:rsidRPr="00713301" w:rsidRDefault="00713301" w:rsidP="00713301">
      <w:pPr>
        <w:tabs>
          <w:tab w:val="left" w:pos="33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Figure 4</w:t>
      </w:r>
      <w:r w:rsidRPr="00555089">
        <w:rPr>
          <w:rFonts w:ascii="Arial" w:hAnsi="Arial" w:cs="Arial"/>
          <w:b/>
          <w:bCs/>
          <w:sz w:val="22"/>
          <w:szCs w:val="22"/>
        </w:rPr>
        <w:t>:</w:t>
      </w:r>
      <w:r w:rsidRPr="0055508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Forest and funnel plots of p</w:t>
      </w:r>
      <w:r w:rsidRPr="00713301">
        <w:rPr>
          <w:rFonts w:ascii="Arial" w:hAnsi="Arial" w:cs="Arial"/>
          <w:sz w:val="22"/>
          <w:szCs w:val="22"/>
        </w:rPr>
        <w:t>ooled and subgroup meta-analysis of prosthetic joint infection at</w:t>
      </w:r>
      <w:r>
        <w:rPr>
          <w:rFonts w:ascii="Arial" w:hAnsi="Arial" w:cs="Arial"/>
          <w:sz w:val="22"/>
          <w:szCs w:val="22"/>
        </w:rPr>
        <w:t xml:space="preserve"> 90 days.</w:t>
      </w:r>
    </w:p>
    <w:p w14:paraId="36DF5D69" w14:textId="389D1A39" w:rsidR="00713301" w:rsidRPr="00555089" w:rsidRDefault="00713301" w:rsidP="00713301">
      <w:pPr>
        <w:tabs>
          <w:tab w:val="left" w:pos="33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Figure 5</w:t>
      </w:r>
      <w:r w:rsidRPr="00555089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Forest and funnel plots of p</w:t>
      </w:r>
      <w:r w:rsidRPr="00713301">
        <w:rPr>
          <w:rFonts w:ascii="Arial" w:hAnsi="Arial" w:cs="Arial"/>
          <w:sz w:val="22"/>
          <w:szCs w:val="22"/>
        </w:rPr>
        <w:t xml:space="preserve">ooled and subgroup meta-analysis of </w:t>
      </w:r>
      <w:r>
        <w:rPr>
          <w:rFonts w:ascii="Arial" w:hAnsi="Arial" w:cs="Arial"/>
          <w:sz w:val="22"/>
          <w:szCs w:val="22"/>
        </w:rPr>
        <w:t>acute kidney injury</w:t>
      </w:r>
      <w:r w:rsidRPr="00713301">
        <w:rPr>
          <w:rFonts w:ascii="Arial" w:hAnsi="Arial" w:cs="Arial"/>
          <w:sz w:val="22"/>
          <w:szCs w:val="22"/>
        </w:rPr>
        <w:t xml:space="preserve"> at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0 days.</w:t>
      </w:r>
    </w:p>
    <w:p w14:paraId="519ABDD8" w14:textId="77777777" w:rsidR="00C86D35" w:rsidRDefault="00C86D35"/>
    <w:p w14:paraId="50F68968" w14:textId="77777777" w:rsidR="00713301" w:rsidRDefault="00713301"/>
    <w:p w14:paraId="78141028" w14:textId="77777777" w:rsidR="00713301" w:rsidRDefault="00713301"/>
    <w:sectPr w:rsidR="00713301" w:rsidSect="00014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01"/>
    <w:rsid w:val="00014B57"/>
    <w:rsid w:val="00061FC1"/>
    <w:rsid w:val="00210F59"/>
    <w:rsid w:val="002A3AEA"/>
    <w:rsid w:val="00336A8B"/>
    <w:rsid w:val="003E034D"/>
    <w:rsid w:val="00605D6E"/>
    <w:rsid w:val="006242C7"/>
    <w:rsid w:val="00713301"/>
    <w:rsid w:val="00855060"/>
    <w:rsid w:val="009617A5"/>
    <w:rsid w:val="00A0541A"/>
    <w:rsid w:val="00A14EC5"/>
    <w:rsid w:val="00A355DC"/>
    <w:rsid w:val="00AA5674"/>
    <w:rsid w:val="00AC58DE"/>
    <w:rsid w:val="00C86D35"/>
    <w:rsid w:val="00D93C18"/>
    <w:rsid w:val="00DB44BE"/>
    <w:rsid w:val="00E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9744"/>
  <w15:chartTrackingRefBased/>
  <w15:docId w15:val="{59B213DD-D2A4-E14E-A49A-FE7B2F4B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301"/>
  </w:style>
  <w:style w:type="paragraph" w:styleId="Heading1">
    <w:name w:val="heading 1"/>
    <w:basedOn w:val="Normal"/>
    <w:next w:val="Normal"/>
    <w:link w:val="Heading1Char"/>
    <w:uiPriority w:val="9"/>
    <w:qFormat/>
    <w:rsid w:val="0071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Wajda</dc:creator>
  <cp:keywords/>
  <dc:description/>
  <cp:lastModifiedBy>Ben Wajda</cp:lastModifiedBy>
  <cp:revision>1</cp:revision>
  <dcterms:created xsi:type="dcterms:W3CDTF">2026-09-10T01:34:00Z</dcterms:created>
  <dcterms:modified xsi:type="dcterms:W3CDTF">2026-09-10T01:42:00Z</dcterms:modified>
</cp:coreProperties>
</file>