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AppendixHeading"/>
      </w:pPr>
      <w:r>
        <w:t>Приложение 1</w:t>
      </w:r>
    </w:p>
    <w:p>
      <w:pPr>
        <w:pStyle w:val="AppendixHeading"/>
      </w:pPr>
      <w:r>
        <w:t>Планировка зоны хранения лекарственных средств</w:t>
      </w:r>
    </w:p>
    <w:p>
      <w:r>
        <w:t>Изображение планировки не загружено</w:t>
      </w:r>
    </w:p>
    <w:p>
      <w:r>
        <w:br w:type="page"/>
      </w:r>
    </w:p>
    <w:p>
      <w:pPr>
        <w:sectPr>
          <w:pgSz w:w="16838" w:h="11906" w:orient="landscape"/>
          <w:pgMar w:top="1134" w:right="850" w:bottom="1134" w:left="850" w:header="720" w:footer="720" w:gutter="0"/>
          <w:cols w:space="720"/>
          <w:docGrid w:linePitch="360"/>
        </w:sectPr>
      </w:pPr>
    </w:p>
    <w:p>
      <w:pPr>
        <w:pStyle w:val="AppendixHeading"/>
      </w:pPr>
      <w:r>
        <w:t>Приложение 2</w:t>
      </w:r>
    </w:p>
    <w:p>
      <w:pPr>
        <w:pStyle w:val="AppendixHeading"/>
        <w:spacing w:after="120"/>
      </w:pPr>
      <w:r>
        <w:t>Анализ рисков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"/>
        <w:gridCol w:w="2880"/>
        <w:gridCol w:w="1440"/>
        <w:gridCol w:w="1440"/>
        <w:gridCol w:w="1440"/>
        <w:gridCol w:w="2880"/>
        <w:gridCol w:w="1440"/>
        <w:gridCol w:w="1440"/>
        <w:gridCol w:w="1440"/>
      </w:tblGrid>
      <w:tr>
        <w:tc>
          <w:tcPr>
            <w:tcW w:type="dxa" w:w="432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88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Идентифицированный риск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Последствия возникнове-ния риска (P)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Вероятность возникнове-ния риска (S)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Оценка риска (OR)</w:t>
            </w:r>
          </w:p>
        </w:tc>
        <w:tc>
          <w:tcPr>
            <w:tcW w:type="dxa" w:w="288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Меры снижения</w:t>
            </w:r>
          </w:p>
        </w:tc>
        <w:tc>
          <w:tcPr>
            <w:tcW w:type="dxa" w:w="144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Остаточный риск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Последствия возникнове-ния риска (P)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Вероятность возникнове-ния риска (S)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Оценка риска (OR)</w:t>
            </w:r>
          </w:p>
        </w:tc>
      </w:tr>
      <w:tr>
        <w:tc>
          <w:tcPr>
            <w:tcW w:type="dxa" w:w="43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Риск выхода климатических условий (температуры, влажности) за установленные пределы в зоне хранения лекарственных средств вблизи окон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Провести анализ зоны хранения лекарственных средств вблизи окон и на основании этого анализа обозначить места установки логгеров на схеме размещения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</w:t>
            </w:r>
          </w:p>
        </w:tc>
      </w:tr>
      <w:tr>
        <w:tc>
          <w:tcPr>
            <w:tcW w:type="dxa" w:w="43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Риск выхода климатических условий (температуры, влажности) за установленные пределы в зоне хранения лекарственных средств вблизи дверей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Провести анализ зоны хранения лекарственных средств вблизи дверей и на основании этого анализа обозначить места установки логгеров на схеме размещения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</w:t>
            </w:r>
          </w:p>
        </w:tc>
      </w:tr>
    </w:tbl>
    <w:p>
      <w:r>
        <w:br w:type="page"/>
      </w:r>
    </w:p>
    <w:p w14:paraId="07F336AC" w14:textId="77777777" w:rsidR="0082149B" w:rsidRPr="008E7A63" w:rsidRDefault="0082149B" w:rsidP="0082149B">
      <w:pPr>
        <w:tabs>
          <w:tab w:val="left" w:pos="851"/>
        </w:tabs>
        <w:spacing w:after="120"/>
        <w:ind w:left="709"/>
        <w:jc w:val="both"/>
        <w:rPr>
          <w:b/>
          <w:bCs/>
          <w:sz w:val="24"/>
          <w:szCs w:val="24"/>
          <w:lang w:eastAsia="ru-RU"/>
        </w:rPr>
      </w:pPr>
      <w:r w:rsidRPr="008E7A63">
        <w:rPr>
          <w:b/>
          <w:bCs/>
          <w:sz w:val="24"/>
          <w:szCs w:val="24"/>
          <w:lang w:eastAsia="ru-RU"/>
        </w:rPr>
        <w:t>Методика оценки рисков</w:t>
      </w:r>
    </w:p>
    <w:p w14:paraId="1885151E" w14:textId="77777777" w:rsidR="0082149B" w:rsidRPr="008E7A63" w:rsidRDefault="0082149B" w:rsidP="0082149B">
      <w:pPr>
        <w:pStyle w:val="a3"/>
        <w:spacing w:before="0" w:after="0"/>
        <w:ind w:left="709"/>
        <w:rPr>
          <w:szCs w:val="28"/>
        </w:rPr>
      </w:pPr>
      <w:r w:rsidRPr="008E7A63">
        <w:rPr>
          <w:szCs w:val="28"/>
        </w:rPr>
        <w:t>Таблица 2.2 - Шкала для определения вероятности возникновения риска Р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12470"/>
      </w:tblGrid>
      <w:tr w:rsidR="0082149B" w:rsidRPr="008E7A63" w14:paraId="15ECFBB4" w14:textId="77777777" w:rsidTr="00C66626">
        <w:tc>
          <w:tcPr>
            <w:tcW w:w="1280" w:type="dxa"/>
            <w:vMerge w:val="restart"/>
            <w:shd w:val="clear" w:color="auto" w:fill="auto"/>
            <w:vAlign w:val="center"/>
          </w:tcPr>
          <w:p w14:paraId="4487CEF4" w14:textId="77777777" w:rsidR="0082149B" w:rsidRPr="008E7A63" w:rsidRDefault="0082149B" w:rsidP="00C66626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Балльная оценка</w:t>
            </w:r>
          </w:p>
        </w:tc>
        <w:tc>
          <w:tcPr>
            <w:tcW w:w="12470" w:type="dxa"/>
            <w:shd w:val="clear" w:color="auto" w:fill="auto"/>
          </w:tcPr>
          <w:p w14:paraId="291B432E" w14:textId="77777777" w:rsidR="0082149B" w:rsidRPr="008E7A63" w:rsidRDefault="0082149B" w:rsidP="00C66626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Оценка вероятности риска, Р</w:t>
            </w:r>
          </w:p>
        </w:tc>
      </w:tr>
      <w:tr w:rsidR="0082149B" w:rsidRPr="008E7A63" w14:paraId="6A03B966" w14:textId="77777777" w:rsidTr="00C66626">
        <w:tc>
          <w:tcPr>
            <w:tcW w:w="1280" w:type="dxa"/>
            <w:vMerge/>
            <w:shd w:val="clear" w:color="auto" w:fill="auto"/>
          </w:tcPr>
          <w:p w14:paraId="3F80E083" w14:textId="77777777" w:rsidR="0082149B" w:rsidRPr="008E7A63" w:rsidRDefault="0082149B" w:rsidP="00C66626">
            <w:pPr>
              <w:pStyle w:val="a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470" w:type="dxa"/>
            <w:shd w:val="clear" w:color="auto" w:fill="auto"/>
          </w:tcPr>
          <w:p w14:paraId="4E31DD4D" w14:textId="77777777" w:rsidR="0082149B" w:rsidRPr="008E7A63" w:rsidRDefault="0082149B" w:rsidP="00C66626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82149B" w:rsidRPr="008E7A63" w14:paraId="20C6BDBB" w14:textId="77777777" w:rsidTr="00C66626">
        <w:tc>
          <w:tcPr>
            <w:tcW w:w="1280" w:type="dxa"/>
            <w:shd w:val="clear" w:color="auto" w:fill="auto"/>
            <w:vAlign w:val="center"/>
          </w:tcPr>
          <w:p w14:paraId="2BEC6382" w14:textId="77777777" w:rsidR="0082149B" w:rsidRPr="008E7A63" w:rsidRDefault="0082149B" w:rsidP="00C66626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1</w:t>
            </w:r>
          </w:p>
        </w:tc>
        <w:tc>
          <w:tcPr>
            <w:tcW w:w="12470" w:type="dxa"/>
            <w:shd w:val="clear" w:color="auto" w:fill="auto"/>
          </w:tcPr>
          <w:p w14:paraId="26B249D2" w14:textId="77777777" w:rsidR="0082149B" w:rsidRPr="008E7A63" w:rsidRDefault="0082149B" w:rsidP="00C66626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Возможность возникновения риска минимальна при реализации мероприятий</w:t>
            </w:r>
          </w:p>
        </w:tc>
      </w:tr>
      <w:tr w:rsidR="0082149B" w:rsidRPr="008E7A63" w14:paraId="50460282" w14:textId="77777777" w:rsidTr="00C66626">
        <w:tc>
          <w:tcPr>
            <w:tcW w:w="1280" w:type="dxa"/>
            <w:shd w:val="clear" w:color="auto" w:fill="auto"/>
            <w:vAlign w:val="center"/>
          </w:tcPr>
          <w:p w14:paraId="03696A81" w14:textId="77777777" w:rsidR="0082149B" w:rsidRPr="008E7A63" w:rsidRDefault="0082149B" w:rsidP="00C66626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2</w:t>
            </w:r>
          </w:p>
        </w:tc>
        <w:tc>
          <w:tcPr>
            <w:tcW w:w="12470" w:type="dxa"/>
            <w:shd w:val="clear" w:color="auto" w:fill="auto"/>
          </w:tcPr>
          <w:p w14:paraId="7E2799D9" w14:textId="77777777" w:rsidR="0082149B" w:rsidRPr="008E7A63" w:rsidRDefault="0082149B" w:rsidP="00C66626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Возможность возникновения риска средняя, не смотря на реализованные мероприятия</w:t>
            </w:r>
          </w:p>
        </w:tc>
      </w:tr>
      <w:tr w:rsidR="0082149B" w:rsidRPr="008E7A63" w14:paraId="6FF9CFFF" w14:textId="77777777" w:rsidTr="00C66626">
        <w:tc>
          <w:tcPr>
            <w:tcW w:w="1280" w:type="dxa"/>
            <w:shd w:val="clear" w:color="auto" w:fill="auto"/>
            <w:vAlign w:val="center"/>
          </w:tcPr>
          <w:p w14:paraId="28DB05A0" w14:textId="77777777" w:rsidR="0082149B" w:rsidRPr="008E7A63" w:rsidRDefault="0082149B" w:rsidP="00C66626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3</w:t>
            </w:r>
          </w:p>
        </w:tc>
        <w:tc>
          <w:tcPr>
            <w:tcW w:w="12470" w:type="dxa"/>
            <w:shd w:val="clear" w:color="auto" w:fill="auto"/>
          </w:tcPr>
          <w:p w14:paraId="7573A124" w14:textId="77777777" w:rsidR="0082149B" w:rsidRPr="008E7A63" w:rsidRDefault="0082149B" w:rsidP="00C66626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Возможность возникновения риска высокая, не смотря на реализованные мероприятия</w:t>
            </w:r>
          </w:p>
        </w:tc>
      </w:tr>
    </w:tbl>
    <w:p w14:paraId="5DAD5575" w14:textId="77777777" w:rsidR="0082149B" w:rsidRPr="008E7A63" w:rsidRDefault="0082149B" w:rsidP="0082149B">
      <w:pPr>
        <w:pStyle w:val="a3"/>
        <w:spacing w:before="0" w:after="0"/>
        <w:ind w:left="709"/>
        <w:rPr>
          <w:szCs w:val="28"/>
        </w:rPr>
      </w:pPr>
      <w:r w:rsidRPr="008E7A63">
        <w:rPr>
          <w:szCs w:val="28"/>
        </w:rPr>
        <w:t xml:space="preserve">Таблица 2.3- Шкала для определения тяжести последствий риска </w:t>
      </w:r>
      <w:r w:rsidRPr="008E7A63">
        <w:rPr>
          <w:szCs w:val="28"/>
          <w:lang w:val="en-US"/>
        </w:rPr>
        <w:t>S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474"/>
      </w:tblGrid>
      <w:tr w:rsidR="0082149B" w:rsidRPr="008E7A63" w14:paraId="62A67789" w14:textId="77777777" w:rsidTr="00C66626">
        <w:tc>
          <w:tcPr>
            <w:tcW w:w="1276" w:type="dxa"/>
            <w:vMerge w:val="restart"/>
            <w:vAlign w:val="center"/>
          </w:tcPr>
          <w:p w14:paraId="5DB45207" w14:textId="77777777" w:rsidR="0082149B" w:rsidRPr="008E7A63" w:rsidRDefault="0082149B" w:rsidP="00C66626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Бальная оценка</w:t>
            </w:r>
          </w:p>
        </w:tc>
        <w:tc>
          <w:tcPr>
            <w:tcW w:w="12474" w:type="dxa"/>
          </w:tcPr>
          <w:p w14:paraId="69BBBF4A" w14:textId="77777777" w:rsidR="0082149B" w:rsidRPr="008E7A63" w:rsidRDefault="0082149B" w:rsidP="00C66626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Последствия возникновения риска, S</w:t>
            </w:r>
          </w:p>
        </w:tc>
      </w:tr>
      <w:tr w:rsidR="0082149B" w:rsidRPr="008E7A63" w14:paraId="0ACE2724" w14:textId="77777777" w:rsidTr="00C66626">
        <w:tc>
          <w:tcPr>
            <w:tcW w:w="1276" w:type="dxa"/>
            <w:vMerge/>
          </w:tcPr>
          <w:p w14:paraId="2744B410" w14:textId="77777777" w:rsidR="0082149B" w:rsidRPr="008E7A63" w:rsidRDefault="0082149B" w:rsidP="00C66626">
            <w:pPr>
              <w:pStyle w:val="a3"/>
              <w:rPr>
                <w:sz w:val="22"/>
                <w:szCs w:val="22"/>
              </w:rPr>
            </w:pPr>
          </w:p>
        </w:tc>
        <w:tc>
          <w:tcPr>
            <w:tcW w:w="12474" w:type="dxa"/>
            <w:vAlign w:val="center"/>
          </w:tcPr>
          <w:p w14:paraId="11BC95DE" w14:textId="77777777" w:rsidR="0082149B" w:rsidRPr="008E7A63" w:rsidRDefault="0082149B" w:rsidP="00C66626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82149B" w:rsidRPr="008E7A63" w14:paraId="2DF34F25" w14:textId="77777777" w:rsidTr="00C66626">
        <w:tc>
          <w:tcPr>
            <w:tcW w:w="1276" w:type="dxa"/>
            <w:vAlign w:val="center"/>
          </w:tcPr>
          <w:p w14:paraId="21C03A1D" w14:textId="77777777" w:rsidR="0082149B" w:rsidRPr="008E7A63" w:rsidRDefault="0082149B" w:rsidP="00C66626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1</w:t>
            </w:r>
          </w:p>
        </w:tc>
        <w:tc>
          <w:tcPr>
            <w:tcW w:w="12474" w:type="dxa"/>
            <w:vAlign w:val="center"/>
          </w:tcPr>
          <w:p w14:paraId="6682408D" w14:textId="77777777" w:rsidR="0082149B" w:rsidRPr="008E7A63" w:rsidRDefault="0082149B" w:rsidP="00C66626">
            <w:pPr>
              <w:pStyle w:val="a3"/>
              <w:ind w:left="12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Незначительное влияние на результаты измерений, их трактовку и оценку</w:t>
            </w:r>
          </w:p>
        </w:tc>
      </w:tr>
      <w:tr w:rsidR="0082149B" w:rsidRPr="008E7A63" w14:paraId="2425D942" w14:textId="77777777" w:rsidTr="00C66626">
        <w:tc>
          <w:tcPr>
            <w:tcW w:w="1276" w:type="dxa"/>
            <w:vAlign w:val="center"/>
          </w:tcPr>
          <w:p w14:paraId="6A3003D3" w14:textId="77777777" w:rsidR="0082149B" w:rsidRPr="008E7A63" w:rsidRDefault="0082149B" w:rsidP="00C66626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2</w:t>
            </w:r>
          </w:p>
        </w:tc>
        <w:tc>
          <w:tcPr>
            <w:tcW w:w="12474" w:type="dxa"/>
            <w:vAlign w:val="center"/>
          </w:tcPr>
          <w:p w14:paraId="4F0F9722" w14:textId="77777777" w:rsidR="0082149B" w:rsidRPr="008E7A63" w:rsidRDefault="0082149B" w:rsidP="00C66626">
            <w:pPr>
              <w:pStyle w:val="a3"/>
              <w:ind w:left="12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Среднее влияние на результаты измерений, их трактовку, оценку, возможность выдачи недостоверных результатов исследований</w:t>
            </w:r>
          </w:p>
        </w:tc>
      </w:tr>
      <w:tr w:rsidR="0082149B" w:rsidRPr="008E7A63" w14:paraId="1199F635" w14:textId="77777777" w:rsidTr="00C66626">
        <w:tc>
          <w:tcPr>
            <w:tcW w:w="1276" w:type="dxa"/>
            <w:vAlign w:val="center"/>
          </w:tcPr>
          <w:p w14:paraId="5B0C6DA6" w14:textId="77777777" w:rsidR="0082149B" w:rsidRPr="008E7A63" w:rsidRDefault="0082149B" w:rsidP="00C66626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3</w:t>
            </w:r>
          </w:p>
        </w:tc>
        <w:tc>
          <w:tcPr>
            <w:tcW w:w="12474" w:type="dxa"/>
            <w:vAlign w:val="center"/>
          </w:tcPr>
          <w:p w14:paraId="06D76DBF" w14:textId="77777777" w:rsidR="0082149B" w:rsidRPr="008E7A63" w:rsidRDefault="0082149B" w:rsidP="00C66626">
            <w:pPr>
              <w:pStyle w:val="a3"/>
              <w:ind w:left="12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Критическое влияние на результаты измерений, их трактовку, оценку, возможность выдачи недостоверных результатов исследований, критически влияющих на хранение продукции</w:t>
            </w:r>
          </w:p>
        </w:tc>
      </w:tr>
    </w:tbl>
    <w:p w14:paraId="5A86FD1C" w14:textId="77777777" w:rsidR="0082149B" w:rsidRPr="008E7A63" w:rsidRDefault="0082149B" w:rsidP="0082149B">
      <w:pPr>
        <w:shd w:val="clear" w:color="auto" w:fill="FFFFFF"/>
        <w:spacing w:before="0" w:after="0"/>
        <w:ind w:left="709"/>
        <w:jc w:val="both"/>
        <w:rPr>
          <w:spacing w:val="-2"/>
          <w:sz w:val="24"/>
          <w:szCs w:val="24"/>
        </w:rPr>
      </w:pPr>
      <w:r w:rsidRPr="008E7A63">
        <w:rPr>
          <w:spacing w:val="-2"/>
          <w:sz w:val="24"/>
          <w:szCs w:val="24"/>
        </w:rPr>
        <w:t xml:space="preserve">Риск </w:t>
      </w:r>
      <w:r w:rsidRPr="008E7A63">
        <w:rPr>
          <w:i/>
          <w:spacing w:val="-2"/>
          <w:sz w:val="24"/>
          <w:szCs w:val="24"/>
        </w:rPr>
        <w:t>О</w:t>
      </w:r>
      <w:r w:rsidRPr="008E7A63">
        <w:rPr>
          <w:i/>
          <w:spacing w:val="-2"/>
          <w:sz w:val="24"/>
          <w:szCs w:val="24"/>
          <w:lang w:val="en-US"/>
        </w:rPr>
        <w:t>R</w:t>
      </w:r>
      <w:r w:rsidRPr="008E7A63">
        <w:rPr>
          <w:i/>
          <w:spacing w:val="-2"/>
          <w:sz w:val="24"/>
          <w:szCs w:val="24"/>
        </w:rPr>
        <w:t xml:space="preserve"> </w:t>
      </w:r>
      <w:r w:rsidRPr="008E7A63">
        <w:rPr>
          <w:spacing w:val="-2"/>
          <w:sz w:val="24"/>
          <w:szCs w:val="24"/>
        </w:rPr>
        <w:t xml:space="preserve">в общем случае рассчитывают произведением вероятности возникновения риска S на последствие возникновения риска </w:t>
      </w:r>
      <w:r w:rsidRPr="008E7A63">
        <w:rPr>
          <w:spacing w:val="-2"/>
          <w:sz w:val="24"/>
          <w:szCs w:val="24"/>
          <w:lang w:val="en-US"/>
        </w:rPr>
        <w:t>P</w:t>
      </w:r>
      <w:r w:rsidRPr="008E7A63">
        <w:rPr>
          <w:spacing w:val="-2"/>
          <w:sz w:val="24"/>
          <w:szCs w:val="24"/>
        </w:rPr>
        <w:t xml:space="preserve"> по формуле:</w:t>
      </w:r>
    </w:p>
    <w:p w14:paraId="07A8FB4F" w14:textId="77777777" w:rsidR="0082149B" w:rsidRPr="008E7A63" w:rsidRDefault="0082149B" w:rsidP="0082149B">
      <w:pPr>
        <w:shd w:val="clear" w:color="auto" w:fill="FFFFFF"/>
        <w:spacing w:before="0" w:after="0"/>
        <w:ind w:firstLine="709"/>
        <w:jc w:val="center"/>
        <w:rPr>
          <w:sz w:val="24"/>
          <w:szCs w:val="24"/>
        </w:rPr>
      </w:pPr>
      <w:r w:rsidRPr="008E7A63">
        <w:rPr>
          <w:sz w:val="24"/>
          <w:szCs w:val="24"/>
        </w:rPr>
        <w:t>О</w:t>
      </w:r>
      <w:r w:rsidRPr="008E7A63">
        <w:rPr>
          <w:sz w:val="24"/>
          <w:szCs w:val="24"/>
          <w:lang w:val="en-US"/>
        </w:rPr>
        <w:t>R</w:t>
      </w:r>
      <w:r w:rsidRPr="008E7A63">
        <w:rPr>
          <w:sz w:val="24"/>
          <w:szCs w:val="24"/>
        </w:rPr>
        <w:t xml:space="preserve"> = </w:t>
      </w:r>
      <w:r w:rsidRPr="008E7A63">
        <w:rPr>
          <w:sz w:val="24"/>
          <w:szCs w:val="24"/>
          <w:lang w:val="en-US"/>
        </w:rPr>
        <w:t>P</w:t>
      </w:r>
      <w:r w:rsidRPr="008E7A63">
        <w:rPr>
          <w:sz w:val="24"/>
          <w:szCs w:val="24"/>
        </w:rPr>
        <w:t>·</w:t>
      </w:r>
      <w:r w:rsidRPr="008E7A63">
        <w:rPr>
          <w:sz w:val="24"/>
          <w:szCs w:val="24"/>
          <w:lang w:val="en-US"/>
        </w:rPr>
        <w:t>S</w:t>
      </w:r>
    </w:p>
    <w:p w14:paraId="78BDBAE5" w14:textId="77777777" w:rsidR="0082149B" w:rsidRPr="008E7A63" w:rsidRDefault="0082149B" w:rsidP="0082149B">
      <w:pPr>
        <w:shd w:val="clear" w:color="auto" w:fill="FFFFFF"/>
        <w:spacing w:before="0" w:after="0"/>
        <w:ind w:firstLine="709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Оценивание важности риска (категории риска) определяется с помощью таблицы 2.4.</w:t>
      </w:r>
    </w:p>
    <w:p w14:paraId="21B7E20C" w14:textId="77777777" w:rsidR="0082149B" w:rsidRPr="008E7A63" w:rsidRDefault="0082149B" w:rsidP="0082149B">
      <w:pPr>
        <w:shd w:val="clear" w:color="auto" w:fill="FFFFFF"/>
        <w:spacing w:before="0" w:after="0"/>
        <w:ind w:firstLine="709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Таблица 2.4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379"/>
        <w:gridCol w:w="2790"/>
        <w:gridCol w:w="2790"/>
        <w:gridCol w:w="2791"/>
      </w:tblGrid>
      <w:tr w:rsidR="0082149B" w:rsidRPr="008E7A63" w14:paraId="0E3A7721" w14:textId="77777777" w:rsidTr="00C66626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67ADC5" w14:textId="77777777" w:rsidR="0082149B" w:rsidRPr="008E7A63" w:rsidRDefault="0082149B" w:rsidP="00C66626">
            <w:pPr>
              <w:jc w:val="right"/>
            </w:pPr>
            <w:r w:rsidRPr="008E7A63">
              <w:t>Вероятность возникновения (в баллах)</w:t>
            </w:r>
          </w:p>
          <w:p w14:paraId="72821603" w14:textId="77777777" w:rsidR="0082149B" w:rsidRPr="008E7A63" w:rsidRDefault="0082149B" w:rsidP="00C66626">
            <w:r w:rsidRPr="008E7A63">
              <w:t>Последствия (в баллах)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935AD1" w14:textId="77777777" w:rsidR="0082149B" w:rsidRPr="008E7A63" w:rsidRDefault="0082149B" w:rsidP="00C66626">
            <w:pPr>
              <w:jc w:val="center"/>
            </w:pPr>
            <w:r w:rsidRPr="008E7A63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0FC2CA" w14:textId="77777777" w:rsidR="0082149B" w:rsidRPr="008E7A63" w:rsidRDefault="0082149B" w:rsidP="00C66626">
            <w:pPr>
              <w:jc w:val="center"/>
            </w:pPr>
            <w:r w:rsidRPr="008E7A63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B0A86F" w14:textId="77777777" w:rsidR="0082149B" w:rsidRPr="008E7A63" w:rsidRDefault="0082149B" w:rsidP="00C66626">
            <w:pPr>
              <w:jc w:val="center"/>
            </w:pPr>
            <w:r w:rsidRPr="008E7A63">
              <w:t>3</w:t>
            </w:r>
          </w:p>
        </w:tc>
      </w:tr>
      <w:tr w:rsidR="0082149B" w:rsidRPr="008E7A63" w14:paraId="39E81835" w14:textId="77777777" w:rsidTr="00C66626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3F8E76E" w14:textId="77777777" w:rsidR="0082149B" w:rsidRPr="008E7A63" w:rsidRDefault="0082149B" w:rsidP="00C66626">
            <w:pPr>
              <w:jc w:val="center"/>
            </w:pPr>
            <w:r w:rsidRPr="008E7A63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2ED35AE0" w14:textId="77777777" w:rsidR="0082149B" w:rsidRPr="008E7A63" w:rsidRDefault="0082149B" w:rsidP="00C66626">
            <w:pPr>
              <w:jc w:val="center"/>
            </w:pPr>
            <w:r w:rsidRPr="008E7A63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7D521D36" w14:textId="77777777" w:rsidR="0082149B" w:rsidRPr="008E7A63" w:rsidRDefault="0082149B" w:rsidP="00C66626">
            <w:pPr>
              <w:jc w:val="center"/>
            </w:pPr>
            <w:r w:rsidRPr="008E7A63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523798A7" w14:textId="77777777" w:rsidR="0082149B" w:rsidRPr="008E7A63" w:rsidRDefault="0082149B" w:rsidP="00C66626">
            <w:pPr>
              <w:jc w:val="center"/>
            </w:pPr>
            <w:r w:rsidRPr="008E7A63">
              <w:t>3</w:t>
            </w:r>
          </w:p>
        </w:tc>
      </w:tr>
      <w:tr w:rsidR="0082149B" w:rsidRPr="008E7A63" w14:paraId="73FD11BA" w14:textId="77777777" w:rsidTr="00C66626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7F5856B" w14:textId="77777777" w:rsidR="0082149B" w:rsidRPr="008E7A63" w:rsidRDefault="0082149B" w:rsidP="00C66626">
            <w:pPr>
              <w:jc w:val="center"/>
            </w:pPr>
            <w:r w:rsidRPr="008E7A63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410C1D62" w14:textId="77777777" w:rsidR="0082149B" w:rsidRPr="008E7A63" w:rsidRDefault="0082149B" w:rsidP="00C66626">
            <w:pPr>
              <w:jc w:val="center"/>
            </w:pPr>
            <w:r w:rsidRPr="008E7A63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08D00555" w14:textId="77777777" w:rsidR="0082149B" w:rsidRPr="008E7A63" w:rsidRDefault="0082149B" w:rsidP="00C66626">
            <w:pPr>
              <w:jc w:val="center"/>
            </w:pPr>
            <w:r w:rsidRPr="008E7A63">
              <w:t>4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2F69415B" w14:textId="77777777" w:rsidR="0082149B" w:rsidRPr="008E7A63" w:rsidRDefault="0082149B" w:rsidP="00C66626">
            <w:pPr>
              <w:jc w:val="center"/>
            </w:pPr>
            <w:r w:rsidRPr="008E7A63">
              <w:t>6</w:t>
            </w:r>
          </w:p>
        </w:tc>
      </w:tr>
      <w:tr w:rsidR="0082149B" w:rsidRPr="008E7A63" w14:paraId="4DC7AA56" w14:textId="77777777" w:rsidTr="00C66626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E9E0C53" w14:textId="77777777" w:rsidR="0082149B" w:rsidRPr="008E7A63" w:rsidRDefault="0082149B" w:rsidP="00C66626">
            <w:pPr>
              <w:jc w:val="center"/>
            </w:pPr>
            <w:r w:rsidRPr="008E7A63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204B9A74" w14:textId="77777777" w:rsidR="0082149B" w:rsidRPr="008E7A63" w:rsidRDefault="0082149B" w:rsidP="00C66626">
            <w:pPr>
              <w:jc w:val="center"/>
            </w:pPr>
            <w:r w:rsidRPr="008E7A63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0F7126DD" w14:textId="77777777" w:rsidR="0082149B" w:rsidRPr="008E7A63" w:rsidRDefault="0082149B" w:rsidP="00C66626">
            <w:pPr>
              <w:jc w:val="center"/>
            </w:pPr>
            <w:r w:rsidRPr="008E7A63">
              <w:t>6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hideMark/>
          </w:tcPr>
          <w:p w14:paraId="02ECB425" w14:textId="77777777" w:rsidR="0082149B" w:rsidRPr="008E7A63" w:rsidRDefault="0082149B" w:rsidP="00C66626">
            <w:pPr>
              <w:jc w:val="center"/>
            </w:pPr>
            <w:r w:rsidRPr="008E7A63">
              <w:t>9</w:t>
            </w:r>
          </w:p>
        </w:tc>
      </w:tr>
    </w:tbl>
    <w:p w14:paraId="7FDE763D" w14:textId="77777777" w:rsidR="0082149B" w:rsidRPr="008E7A63" w:rsidRDefault="0082149B" w:rsidP="0082149B">
      <w:pPr>
        <w:shd w:val="clear" w:color="auto" w:fill="FFFFFF"/>
        <w:spacing w:before="0" w:after="0"/>
        <w:ind w:firstLine="709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Категория риска определяются следующим образом: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276"/>
        <w:gridCol w:w="12474"/>
      </w:tblGrid>
      <w:tr w:rsidR="0082149B" w:rsidRPr="008E7A63" w14:paraId="1C640364" w14:textId="77777777" w:rsidTr="00C66626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14:paraId="146B0091" w14:textId="77777777" w:rsidR="0082149B" w:rsidRPr="008E7A63" w:rsidRDefault="0082149B" w:rsidP="00C66626">
            <w:pPr>
              <w:jc w:val="center"/>
            </w:pPr>
            <w:r w:rsidRPr="008E7A63">
              <w:t>9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8017EA2" w14:textId="77777777" w:rsidR="0082149B" w:rsidRPr="008E7A63" w:rsidRDefault="0082149B" w:rsidP="00C66626">
            <w:pPr>
              <w:jc w:val="both"/>
            </w:pPr>
            <w:r w:rsidRPr="008E7A63">
              <w:rPr>
                <w:b/>
              </w:rPr>
              <w:t>Высокий риск</w:t>
            </w:r>
            <w:r w:rsidRPr="008E7A63"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82149B" w:rsidRPr="008E7A63" w14:paraId="4F6A02B7" w14:textId="77777777" w:rsidTr="00C66626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43E2D471" w14:textId="77777777" w:rsidR="0082149B" w:rsidRPr="008E7A63" w:rsidRDefault="0082149B" w:rsidP="00C66626">
            <w:pPr>
              <w:jc w:val="center"/>
            </w:pPr>
            <w:r w:rsidRPr="008E7A63">
              <w:t>3-6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FFCC6F8" w14:textId="77777777" w:rsidR="0082149B" w:rsidRPr="008E7A63" w:rsidRDefault="0082149B" w:rsidP="00C66626">
            <w:pPr>
              <w:jc w:val="both"/>
              <w:rPr>
                <w:spacing w:val="-4"/>
              </w:rPr>
            </w:pPr>
            <w:r w:rsidRPr="008E7A63">
              <w:rPr>
                <w:b/>
                <w:spacing w:val="-4"/>
              </w:rPr>
              <w:t>Приемлемый риск</w:t>
            </w:r>
            <w:r w:rsidRPr="008E7A63">
              <w:rPr>
                <w:spacing w:val="-4"/>
              </w:rPr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82149B" w:rsidRPr="008E7A63" w14:paraId="154B4495" w14:textId="77777777" w:rsidTr="00C66626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vAlign w:val="center"/>
            <w:hideMark/>
          </w:tcPr>
          <w:p w14:paraId="30F7129A" w14:textId="77777777" w:rsidR="0082149B" w:rsidRPr="008E7A63" w:rsidRDefault="0082149B" w:rsidP="00C66626">
            <w:pPr>
              <w:jc w:val="center"/>
            </w:pPr>
            <w:r w:rsidRPr="008E7A63">
              <w:t>1-2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1917BE9" w14:textId="77777777" w:rsidR="0082149B" w:rsidRPr="008E7A63" w:rsidRDefault="0082149B" w:rsidP="00C66626">
            <w:pPr>
              <w:jc w:val="both"/>
            </w:pPr>
            <w:r w:rsidRPr="008E7A63">
              <w:rPr>
                <w:b/>
              </w:rPr>
              <w:t>Низкий риск</w:t>
            </w:r>
            <w:r w:rsidRPr="008E7A63">
              <w:t>. Риск не нуждается в отображении в процессе и включении в мероприятия по управлению рисками</w:t>
            </w:r>
          </w:p>
        </w:tc>
      </w:tr>
    </w:tbl>
    <w:p w14:paraId="4D9823C1" w14:textId="77777777" w:rsidR="000879E8" w:rsidRDefault="000879E8">
      <w:pPr>
        <w:spacing w:before="0" w:after="0"/>
      </w:pPr>
    </w:p>
    <w:p>
      <w:pPr>
        <w:sectPr>
          <w:pgSz w:w="16838" w:h="11906" w:orient="landscape"/>
          <w:pgMar w:top="567" w:right="1134" w:bottom="850" w:left="1134" w:header="708" w:footer="708" w:gutter="0"/>
          <w:cols w:space="708"/>
          <w:docGrid w:linePitch="360"/>
        </w:sectPr>
      </w:pPr>
    </w:p>
    <w:p>
      <w:pPr>
        <w:pStyle w:val="AppendixHeading"/>
      </w:pPr>
      <w:r>
        <w:t>Приложение 3</w:t>
      </w:r>
    </w:p>
    <w:p>
      <w:pPr>
        <w:pStyle w:val="AppendixHeading"/>
      </w:pPr>
      <w:r>
        <w:t>Схема размещения логгеров</w:t>
      </w:r>
    </w:p>
    <w:p>
      <w:r>
        <w:t>Изображение планировки не загружено</w:t>
      </w:r>
    </w:p>
    <w:p>
      <w:r>
        <w:br w:type="page"/>
      </w:r>
    </w:p>
    <w:p>
      <w:pPr>
        <w:sectPr>
          <w:pgSz w:w="16838" w:h="11906" w:orient="landscape"/>
          <w:pgMar w:top="1134" w:right="850" w:bottom="1134" w:left="850" w:header="708" w:footer="708" w:gutter="0"/>
          <w:cols w:space="708"/>
          <w:docGrid w:linePitch="360"/>
        </w:sectPr>
      </w:pPr>
    </w:p>
    <w:p>
      <w:pPr>
        <w:pStyle w:val="AppendixHeading"/>
      </w:pPr>
      <w:r>
        <w:t>Приложение 4</w:t>
      </w:r>
    </w:p>
    <w:p>
      <w:pPr>
        <w:pStyle w:val="AppendixHeading"/>
      </w:pPr>
      <w:r>
        <w:t>Графики распределения температуры и влажности при проведении исследований</w:t>
      </w:r>
    </w:p>
    <w:p>
      <w:pPr>
        <w:sectPr>
          <w:pgSz w:w="16838" w:h="11906" w:orient="landscape"/>
          <w:pgMar w:top="1134" w:right="850" w:bottom="1134" w:left="850" w:header="708" w:footer="708" w:gutter="0"/>
          <w:cols w:space="708"/>
          <w:docGrid w:linePitch="360"/>
        </w:sectPr>
      </w:pPr>
    </w:p>
    <w:p>
      <w:pPr>
        <w:pStyle w:val="AppendixHeading"/>
      </w:pPr>
      <w:r>
        <w:t>Приложение 6</w:t>
      </w:r>
    </w:p>
    <w:p>
      <w:pPr>
        <w:pStyle w:val="AppendixHeading"/>
      </w:pPr>
      <w:r>
        <w:t>Температурная и влажностная карты</w:t>
      </w:r>
    </w:p>
    <w:p>
      <w:pPr>
        <w:jc w:val="left"/>
      </w:pPr>
      <w:r>
        <w:tab/>
      </w:r>
      <w:r>
        <w:rPr>
          <w:rFonts w:ascii="Times New Roman" w:hAnsi="Times New Roman"/>
          <w:sz w:val="24"/>
        </w:rPr>
        <w:t>На рисунке 6.1 представлена температурная карта зоны хранения лекарственных средств за весь период исследования.</w:t>
      </w:r>
    </w:p>
    <w:p>
      <w:r>
        <w:t>Изображение планировки не загружено</w:t>
      </w:r>
    </w:p>
    <w:p>
      <w:pPr>
        <w:jc w:val="center"/>
      </w:pPr>
      <w:r>
        <w:rPr>
          <w:rFonts w:ascii="Times New Roman" w:hAnsi="Times New Roman"/>
          <w:sz w:val="24"/>
        </w:rPr>
        <w:t>Рисунок 6.1 – Температурная карта зоны хранения лекарственных средств за весь период исследования</w:t>
      </w:r>
    </w:p>
    <w:p>
      <w:pPr>
        <w:sectPr>
          <w:pgSz w:w="16838" w:h="11906" w:orient="landscape"/>
          <w:pgMar w:top="1134" w:right="850" w:bottom="1134" w:left="850" w:header="708" w:footer="708" w:gutter="0"/>
          <w:cols w:space="708"/>
          <w:docGrid w:linePitch="360"/>
        </w:sectPr>
      </w:pPr>
    </w:p>
    <w:p>
      <w:pPr>
        <w:jc w:val="left"/>
      </w:pPr>
      <w:r>
        <w:tab/>
      </w:r>
      <w:r>
        <w:rPr>
          <w:rFonts w:ascii="Times New Roman" w:hAnsi="Times New Roman"/>
          <w:sz w:val="24"/>
        </w:rPr>
        <w:t>На рисунке 6.2 представлена влажностная карта зоны хранения лекарственных средств за весь период исследования.</w:t>
      </w:r>
    </w:p>
    <w:p>
      <w:r>
        <w:t>Изображение планировки не загружено</w:t>
      </w:r>
    </w:p>
    <w:p>
      <w:pPr>
        <w:jc w:val="center"/>
      </w:pPr>
      <w:r>
        <w:rPr>
          <w:rFonts w:ascii="Times New Roman" w:hAnsi="Times New Roman"/>
          <w:sz w:val="24"/>
        </w:rPr>
        <w:t>Рисунок 6.2 – Влажностная карта зоны хранения лекарственных средств за весь период исследования</w:t>
      </w:r>
    </w:p>
    <w:sectPr w:rsidR="000879E8" w:rsidSect="0082149B">
      <w:type w:val="continuous"/>
      <w:pgSz w:w="11906" w:h="16838"/>
      <w:pgMar w:top="850" w:right="1134" w:bottom="850" w:left="1134" w:header="708" w:footer="708" w:gutter="0"/>
      <w:cols w:space="708"/>
      <w:docGrid w:linePitch="360"/>
    </w:sectPr>
    <w:p>
      <w:pPr>
        <w:spacing w:before="0" w:after="0"/>
      </w:pPr>
      <w:r>
        <w:br w:type="page"/>
      </w:r>
    </w:p>
    <w:sectPr w:rsidR="00FC693F" w:rsidRPr="0006063C" w:rsidSect="00034616">
      <w:pgSz w:w="16838" w:h="11906" w:orient="landscape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endixHeading">
    <w:name w:val="Appendix Heading"/>
    <w:basedOn w:val="Heading1"/>
    <w:pPr>
      <w:spacing w:before="0" w:after="0"/>
      <w:ind w:left="0" w:right="0"/>
      <w:jc w:val="center"/>
    </w:pPr>
    <w:rPr>
      <w:rFonts w:ascii="Times New Roman" w:hAnsi="Times New Roman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