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7"/>
          <w:szCs w:val="17"/>
        </w:rPr>
        <w:t xml:space="preserve">FRANZ KAFKA: „BRIEF AN DEN VATER“ (1919) · AUSZÜGE VON S. 5–6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34"/>
          <w:szCs w:val="34"/>
        </w:rPr>
        <w:t xml:space="preserve">Wie der Vater spricht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These: </w:t>
            </w: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Kafkas „Furcht“ gründet auf Kommunikationsproblemen.</w:t>
            </w:r>
          </w:p>
        </w:tc>
      </w:tr>
    </w:tbl>
    <w:p>
      <w:pPr>
        <w:spacing w:after="100" w:before="60"/>
      </w:pPr>
      <w:r>
        <w:rPr>
          <w:rFonts w:ascii="Calibri" w:cs="Calibri" w:eastAsia="Calibri" w:hAnsi="Calibri"/>
          <w:i/>
          <w:iCs/>
          <w:color w:val="5B6B8C"/>
          <w:sz w:val="17"/>
          <w:szCs w:val="17"/>
        </w:rPr>
        <w:t xml:space="preserve">Der Text steht in der Rechtschreibung vor 1996: daß = dass, mußte = musste, wußte = wusste.</w:t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3F7CC4"/>
          <w:sz w:val="26"/>
          <w:szCs w:val="26"/>
        </w:rPr>
        <w:t xml:space="preserve">A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Redeverbot</w:t>
      </w:r>
      <w:r>
        <w:rPr>
          <w:rFonts w:ascii="Calibri" w:cs="Calibri" w:eastAsia="Calibri" w:hAnsi="Calibri"/>
          <w:i/>
          <w:iCs/>
          <w:color w:val="5B6B8C"/>
          <w:sz w:val="19"/>
          <w:szCs w:val="19"/>
        </w:rPr>
        <w:t xml:space="preserve">   gemeinsam im Unterrichtsgespräch – Matrix in deinen Hefter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6"/>
      </w:tblGrid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Die Unmöglichkeit des ruhigen Verkehrs hatte noch eine weitere eigentlich sehr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natürliche Folge: ich verlernte das Reden. Ich wäre ja wohl auch sonst kein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großer Redner geworden, aber die gewöhnlich fließende menschliche Sprache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hätte ich doch beherrscht. Du hast mir aber schon früh das Wort verboten.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Deine Drohung: »kein Wort der Widerrede!« und die dazu erhobene Hand begleiten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6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mich schon seit jeher. Ich bekam vor Dir – Du bist, sobald es um Deine Dinge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7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geht, ein ausgezeichneter Redner – eine stockende, stotternde Art des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8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Sprechens, auch das war Dir noch zu viel, schließlich schwieg ich, zuerst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9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vielleicht aus Trotz, dann, weil ich vor Dir weder denken noch reden konnte.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10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[…] Du sagtest: »Kein Wort der Widerrede!« und wolltest damit die Dir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unangenehmen Gegenkräfte in mir zum Schweigen bringen, diese Einwirkung war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aber für mich zu stark, ich war zu folgsam, ich verstummte gänzlich, verkroch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mich vor Dir und wagte mich erst zu regen, wenn ich so weit von Dir entfernt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war, daß Deine Macht, wenigstens direkt, nicht mehr hinreichte. Du aber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standst davor, und alles schien Dir wieder »contra« zu sein, während es nur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3F7CC4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16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selbstverständliche Folge Deiner Stärke und meiner Schwäche war.</w:t>
            </w:r>
          </w:p>
        </w:tc>
      </w:tr>
      <w:tr>
        <w:trPr>
          <w:cantSplit/>
        </w:trPr>
        <w:tc>
          <w:tcPr>
            <w:tcW w:type="dxa" w:w="10206"/>
            <w:gridSpan w:val="2"/>
            <w:tcBorders>
              <w:top w:val="single" w:color="D5DCE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Verkehr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Umgang miteinander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Widerrede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Widerspruch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Gegenkräfte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eigener Wille, Widerstand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contra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dagegen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   ·   […]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Auslassung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0"/>
      </w:pPr>
      <w:r>
        <w:rPr>
          <w:rFonts w:ascii="Cambria" w:cs="Cambria" w:eastAsia="Cambria" w:hAnsi="Cambria"/>
          <w:b/>
          <w:bCs/>
          <w:color w:val="D9534F"/>
          <w:sz w:val="26"/>
          <w:szCs w:val="26"/>
        </w:rPr>
        <w:t xml:space="preserve">C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Ironie</w:t>
      </w:r>
      <w:r>
        <w:rPr>
          <w:rFonts w:ascii="Calibri" w:cs="Calibri" w:eastAsia="Calibri" w:hAnsi="Calibri"/>
          <w:i/>
          <w:iCs/>
          <w:color w:val="5B6B8C"/>
          <w:sz w:val="19"/>
          <w:szCs w:val="19"/>
        </w:rPr>
        <w:t xml:space="preserve">   allein – Matrix in deinen Hefter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9686"/>
      </w:tblGrid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Ein besonderes Vertrauen hattest Du zur Erziehung durch Ironie, sie entsprach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auch am besten Deiner Überlegenheit über mich. Eine Ermahnung hatte bei Dir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gewöhnlich diese Form: »Kannst Du das nicht so und so machen? Das ist Dir wohl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schon zu viel? Dazu hast Du natürlich keine Zeit?« und ähnlich. Dabei jede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solche Frage begleitet von bösem Lachen und bösem Gesicht. Man wurde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6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gewissermaßen schon bestraft, ehe man noch wußte, daß man etwas Schlechtes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7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getan hatte. Aufreizend waren auch jene Zurechtweisungen, wo man als dritte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8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Person behandelt, also nicht einmal des bösen Ansprechens gewürdigt wurde; wo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9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Du also etwa formell zur Mutter sprachst, aber eigentlich zu mir, der dabei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10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saß, zum Beispiel: »Das kann man vom Herrn Sohn natürlich nicht haben« und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11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dergleichen. (Das bekam dann sein Gegenspiel darin, daß ich zum Beispiel nicht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12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wagte und später aus Gewohnheit gar nicht mehr daran dachte, Dich direkt zu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13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fragen, wenn die Mutter dabei war. Es war dem Kind viel ungefährlicher, die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14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neben Dir sitzende Mutter nach Dir auszufragen, man fragte dann die Mutter:</w:t>
            </w:r>
          </w:p>
        </w:tc>
      </w:tr>
      <w:tr>
        <w:trPr>
          <w:cantSplit/>
        </w:trPr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single" w:color="D9534F" w:sz="10"/>
            </w:tcBorders>
            <w:tcMar>
              <w:top w:type="dxa" w:w="6"/>
              <w:left w:type="dxa" w:w="80"/>
              <w:bottom w:type="dxa" w:w="6"/>
              <w:right w:type="dxa" w:w="8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15</w:t>
            </w:r>
          </w:p>
        </w:tc>
        <w:tc>
          <w:tcPr>
            <w:tcW w:type="dxa" w:w="96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"/>
              <w:left w:type="dxa" w:w="140"/>
              <w:bottom w:type="dxa" w:w="6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»Wie geht es dem Vater?« und sicherte sich so vor Überraschungen.)</w:t>
            </w:r>
          </w:p>
        </w:tc>
      </w:tr>
      <w:tr>
        <w:trPr>
          <w:cantSplit/>
        </w:trPr>
        <w:tc>
          <w:tcPr>
            <w:tcW w:type="dxa" w:w="10206"/>
            <w:gridSpan w:val="2"/>
            <w:tcBorders>
              <w:top w:val="single" w:color="D5DCEC" w:sz="6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Ermahnung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Zurechtweisung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gewissermaßen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sozusagen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formell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der Form nach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gewürdigt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für wert befunden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   ·   Gegenspiel </w:t>
            </w:r>
            <w:r>
              <w:rPr>
                <w:rFonts w:ascii="Calibri" w:cs="Calibri" w:eastAsia="Calibri" w:hAnsi="Calibri"/>
                <w:color w:val="5B6B8C"/>
                <w:sz w:val="17"/>
                <w:szCs w:val="17"/>
              </w:rPr>
              <w:t xml:space="preserve">= Gegenstück, Folge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750" w:left="850" w:header="380" w:footer="3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Kafka, Brief an den Vater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11 · Kafka, „Brief an den Vater“</w:t>
    </w:r>
    <w:r>
      <w:rPr>
        <w:rFonts w:ascii="Calibri" w:cs="Calibri" w:eastAsia="Calibri" w:hAnsi="Calibri"/>
        <w:color w:val="5B6B8C"/>
        <w:sz w:val="17"/>
        <w:szCs w:val="17"/>
      </w:rPr>
      <w:t xml:space="preserve">	Name: ______________________   Datum: ___________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2026-10-04T16:54:00.631Z</dcterms:created>
  <dcterms:modified xsi:type="dcterms:W3CDTF">2026-10-04T16:54:00.632Z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