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FÜR DIE LEHRKRAFT</w:t>
      </w:r>
    </w:p>
    <w:p>
      <w:pPr>
        <w:spacing w:after="60" w:before="0"/>
      </w:pPr>
      <w:r>
        <w:rPr>
          <w:rFonts w:ascii="Cambria" w:cs="Cambria" w:eastAsia="Cambria" w:hAnsi="Cambria"/>
          <w:b/>
          <w:bCs/>
          <w:color w:val="1E2761"/>
          <w:sz w:val="40"/>
          <w:szCs w:val="40"/>
        </w:rPr>
        <w:t xml:space="preserve">Kommunikationsstörungen lösen</w:t>
      </w:r>
    </w:p>
    <w:p>
      <w:pPr>
        <w:spacing w:after="80" w:before="0"/>
      </w:pPr>
      <w:r>
        <w:rPr>
          <w:rFonts w:ascii="Calibri" w:cs="Calibri" w:eastAsia="Calibri" w:hAnsi="Calibri"/>
          <w:i/>
          <w:iCs/>
          <w:color w:val="5B6B8C"/>
          <w:sz w:val="20"/>
          <w:szCs w:val="20"/>
        </w:rPr>
        <w:t xml:space="preserve">Doppelstunde (90 Min.) · Klasse 11 · Vorwissen: Kommunikationsmodelle (Schulz von Thun, Watzlawick) und Kommunikationsstörungen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1E2761"/>
                <w:sz w:val="22"/>
                <w:szCs w:val="22"/>
              </w:rPr>
              <w:t xml:space="preserve">Lernziele  </w:t>
            </w:r>
            <w:r>
              <w:rPr>
                <w:rFonts w:ascii="Calibri" w:cs="Calibri" w:eastAsia="Calibri" w:hAnsi="Calibri"/>
                <w:color w:val="000000"/>
                <w:sz w:val="19"/>
                <w:szCs w:val="19"/>
              </w:rPr>
              <w:t xml:space="preserve">Die Schülerinnen und Schüler …</w:t>
            </w:r>
          </w:p>
          <w:p>
            <w:pPr>
              <w:spacing w:after="40" w:before="0"/>
            </w:pPr>
            <w:r>
              <w:rPr>
                <w:rFonts w:ascii="Calibri" w:cs="Calibri" w:eastAsia="Calibri" w:hAnsi="Calibri"/>
                <w:color w:val="000000"/>
                <w:sz w:val="19"/>
                <w:szCs w:val="19"/>
              </w:rPr>
              <w:t xml:space="preserve">•  benennen in einem Dialog den genauen Zeitpunkt, an dem die Kommunikation kippt, und begründen ihn mit Fachbegriffen,</w:t>
            </w:r>
          </w:p>
          <w:p>
            <w:pPr>
              <w:spacing w:after="40" w:before="0"/>
            </w:pPr>
            <w:r>
              <w:rPr>
                <w:rFonts w:ascii="Calibri" w:cs="Calibri" w:eastAsia="Calibri" w:hAnsi="Calibri"/>
                <w:color w:val="000000"/>
                <w:sz w:val="19"/>
                <w:szCs w:val="19"/>
              </w:rPr>
              <w:t xml:space="preserve">•  wenden vier Techniken (Ich-Botschaft, Empathie, Wunsch/Bitte, Metakommunikation) einzeln an, indem sie Kipppunkte umschreiben,</w:t>
            </w:r>
          </w:p>
          <w:p>
            <w:pPr>
              <w:spacing w:after="40" w:before="0"/>
            </w:pPr>
            <w:r>
              <w:rPr>
                <w:rFonts w:ascii="Calibri" w:cs="Calibri" w:eastAsia="Calibri" w:hAnsi="Calibri"/>
                <w:color w:val="000000"/>
                <w:sz w:val="19"/>
                <w:szCs w:val="19"/>
              </w:rPr>
              <w:t xml:space="preserve">•  erfinden eigene Konfliktszenen, spielen sie und werten die Szenen der anderen kriteriengeleitet aus.</w:t>
            </w:r>
          </w:p>
          <w:p>
            <w:pPr>
              <w:spacing w:after="40" w:before="0"/>
            </w:pPr>
            <w:r>
              <w:rPr>
                <w:rFonts w:ascii="Calibri" w:cs="Calibri" w:eastAsia="Calibri" w:hAnsi="Calibri"/>
                <w:b/>
                <w:bCs/>
                <w:color w:val="1E2761"/>
                <w:sz w:val="22"/>
                <w:szCs w:val="22"/>
              </w:rPr>
              <w:t xml:space="preserve">Organisation  </w:t>
            </w:r>
            <w:r>
              <w:rPr>
                <w:rFonts w:ascii="Calibri" w:cs="Calibri" w:eastAsia="Calibri" w:hAnsi="Calibri"/>
                <w:color w:val="000000"/>
                <w:sz w:val="19"/>
                <w:szCs w:val="19"/>
              </w:rPr>
              <w:t xml:space="preserve">21 Schülerinnen und Schüler · bis Minute 43 in den Reihen (einzeln / zu zweit) · danach drei Gruppen à 7: Wandreihe, Mittelreihe, Fensterreihe.</w:t>
            </w:r>
          </w:p>
        </w:tc>
      </w:tr>
    </w:tbl>
    <w:p>
      <w:pPr>
        <w:keepNext/>
        <w:spacing w:after="80" w:before="140"/>
      </w:pPr>
      <w:r>
        <w:rPr>
          <w:rFonts w:ascii="Cambria" w:cs="Cambria" w:eastAsia="Cambria" w:hAnsi="Cambria"/>
          <w:b/>
          <w:bCs/>
          <w:color w:val="1E2761"/>
          <w:sz w:val="26"/>
          <w:szCs w:val="26"/>
        </w:rPr>
        <w:t xml:space="preserve">1  </w:t>
      </w:r>
      <w:r>
        <w:rPr>
          <w:rFonts w:ascii="Cambria" w:cs="Cambria" w:eastAsia="Cambria" w:hAnsi="Cambria"/>
          <w:b/>
          <w:bCs/>
          <w:color w:val="1E2761"/>
          <w:sz w:val="26"/>
          <w:szCs w:val="26"/>
        </w:rPr>
        <w:t xml:space="preserve">Druckliste · am Vortag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000"/>
        <w:gridCol w:w="5206"/>
      </w:tblGrid>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Arbeitsblatt (6 Seiten)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(1 pro Person)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1: Rollen- und Tippkarten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Rollen: 3 Sätze · Tipps: 2–3 Sätze fürs Pult</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2: Notfall-Ideen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Satz, in einen Umschlag – bleibt bei Ihnen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3: Moderationskarte</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 (Moderation + Sie)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4: Exit-Tickets (Mini-Test)</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11× (2 pro Seite), je 7 in die Gruppenumschläge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Erwartungshorizonte (S. 3–4 dieses Dokuments)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für Sie (Unterrichtsgespräche + Mini-Test)</w:t>
            </w:r>
          </w:p>
        </w:tc>
      </w:tr>
    </w:tbl>
    <w:p>
      <w:pPr>
        <w:keepNext/>
        <w:spacing w:after="80" w:before="140"/>
      </w:pPr>
      <w:r>
        <w:rPr>
          <w:rFonts w:ascii="Cambria" w:cs="Cambria" w:eastAsia="Cambria" w:hAnsi="Cambria"/>
          <w:b/>
          <w:bCs/>
          <w:color w:val="1E2761"/>
          <w:sz w:val="26"/>
          <w:szCs w:val="26"/>
        </w:rPr>
        <w:t xml:space="preserve">2  </w:t>
      </w:r>
      <w:r>
        <w:rPr>
          <w:rFonts w:ascii="Cambria" w:cs="Cambria" w:eastAsia="Cambria" w:hAnsi="Cambria"/>
          <w:b/>
          <w:bCs/>
          <w:color w:val="1E2761"/>
          <w:sz w:val="26"/>
          <w:szCs w:val="26"/>
        </w:rPr>
        <w:t xml:space="preserve">Vorbereitung · vor der Stunde bzw. in der Pause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Sitzordnung</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Klasse sitzt zu Beginn normal in den drei Reihen. Impuls und Partnerarbeit laufen mit dem Sitznachbarn. Ab Minute 15 bilden Wandreihe, Mittelreihe und Fensterreihe je eine Gruppe (7 Personen). Vorher überlegen, wie jede Reihe zusammenrückt; sitzen nicht genau 7 in einer Reihe, 1–2 Personen umsetzen.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3 Umschläge</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beschriftet „Wandreihe“, „Mittelreihe“, „Fensterreihe“. Inhalt: 4 Rollenkarten, 7 Exit-Tickets. Jeweils geschlossen auf den ersten Tisch der Reihe legen – geöffnet wird erst in Minute 43.</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 jeden 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das Arbeitsblatt, Seite 1 (M1) oben.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Aufs Pult</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Tippkarten (Tipp 1 und 2 zu Aufgabe 2 und 4) in beschrifteten Stapeln.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Bei Ihnen</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Umschlag „Notfall-Ideen“, 2 Moderationskarten, Zettel für Ihre Notizen (gelungene Formulierungen).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Technik</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Präsentation auf Folie 1, Timer griffbereit (Handy unter der Dokumentenkamera oder Online-Timer).</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Tafel</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Rechts anschreiben: Reihenfolge Wand → Mitte → Fenster · Paten: Wand beobachtet Mitte, Mitte → Fenster, Fenster → Wand.</w:t>
            </w:r>
          </w:p>
        </w:tc>
      </w:tr>
    </w:tbl>
    <w:p>
      <w:pPr>
        <w:keepNext/>
        <w:spacing w:after="80" w:before="140"/>
      </w:pPr>
      <w:r>
        <w:rPr>
          <w:rFonts w:ascii="Cambria" w:cs="Cambria" w:eastAsia="Cambria" w:hAnsi="Cambria"/>
          <w:b/>
          <w:bCs/>
          <w:color w:val="1E2761"/>
          <w:sz w:val="26"/>
          <w:szCs w:val="26"/>
        </w:rPr>
        <w:t xml:space="preserve">3  </w:t>
      </w:r>
      <w:r>
        <w:rPr>
          <w:rFonts w:ascii="Cambria" w:cs="Cambria" w:eastAsia="Cambria" w:hAnsi="Cambria"/>
          <w:b/>
          <w:bCs/>
          <w:color w:val="1E2761"/>
          <w:sz w:val="26"/>
          <w:szCs w:val="26"/>
        </w:rPr>
        <w:t xml:space="preserve">Grundregeln für Ihre Sprechzeit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Sie teilen während der Stunde nichts aus.</w:t>
      </w:r>
      <w:r>
        <w:rPr>
          <w:rFonts w:ascii="Calibri" w:cs="Calibri" w:eastAsia="Calibri" w:hAnsi="Calibri"/>
          <w:color w:val="000000"/>
          <w:sz w:val="19"/>
          <w:szCs w:val="19"/>
        </w:rPr>
        <w:t xml:space="preserve"> Alles liegt vorher bereit. Ausnahmen: Notfall-Idee und Moderationskarte.</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Folie wechseln, Timer starten, nicht erklären.</w:t>
      </w:r>
      <w:r>
        <w:rPr>
          <w:rFonts w:ascii="Calibri" w:cs="Calibri" w:eastAsia="Calibri" w:hAnsi="Calibri"/>
          <w:color w:val="000000"/>
          <w:sz w:val="19"/>
          <w:szCs w:val="19"/>
        </w:rPr>
        <w:t xml:space="preserve"> Die Aufträge stehen auf Folie und Arbeitsblatt.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Zwei kurze Unterrichtsgespräche (5 und 7 Min.)</w:t>
      </w:r>
      <w:r>
        <w:rPr>
          <w:rFonts w:ascii="Calibri" w:cs="Calibri" w:eastAsia="Calibri" w:hAnsi="Calibri"/>
          <w:color w:val="000000"/>
          <w:sz w:val="19"/>
          <w:szCs w:val="19"/>
        </w:rPr>
        <w:t xml:space="preserve"> sichern die Kipppunkte und die Techniken. Tipp: Wer geantwortet hat, nimmt die nächste Person dran.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Fragen kommen nur von der Material-Person</w:t>
      </w:r>
      <w:r>
        <w:rPr>
          <w:rFonts w:ascii="Calibri" w:cs="Calibri" w:eastAsia="Calibri" w:hAnsi="Calibri"/>
          <w:color w:val="000000"/>
          <w:sz w:val="19"/>
          <w:szCs w:val="19"/>
        </w:rPr>
        <w:t xml:space="preserve"> – und erst, nachdem Gruppe und Tippkarte nicht geholfen haben.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Beim Spielen sitzen Sie im Publikum.</w:t>
      </w:r>
      <w:r>
        <w:rPr>
          <w:rFonts w:ascii="Calibri" w:cs="Calibri" w:eastAsia="Calibri" w:hAnsi="Calibri"/>
          <w:color w:val="000000"/>
          <w:sz w:val="19"/>
          <w:szCs w:val="19"/>
        </w:rPr>
        <w:t xml:space="preserve"> Eine Schülerin oder ein Schüler moderiert. Sie notieren gelungene Formulierungen.</w:t>
      </w:r>
    </w:p>
    <w:p>
      <w:pPr>
        <w:pageBreakBefore/>
        <w:spacing w:after="20" w:before="0"/>
      </w:pPr>
      <w:r>
        <w:rPr>
          <w:rFonts w:ascii="Calibri" w:cs="Calibri" w:eastAsia="Calibri" w:hAnsi="Calibri"/>
          <w:b/>
          <w:bCs/>
          <w:color w:val="5B6B8C"/>
          <w:sz w:val="18"/>
          <w:szCs w:val="18"/>
        </w:rPr>
        <w:t xml:space="preserve">FÜR DIE LEHRKRAFT · REGIEPLAN</w:t>
      </w:r>
    </w:p>
    <w:p>
      <w:pPr>
        <w:spacing w:after="60" w:before="0"/>
      </w:pPr>
      <w:r>
        <w:rPr>
          <w:rFonts w:ascii="Cambria" w:cs="Cambria" w:eastAsia="Cambria" w:hAnsi="Cambria"/>
          <w:b/>
          <w:bCs/>
          <w:color w:val="1E2761"/>
          <w:sz w:val="40"/>
          <w:szCs w:val="40"/>
        </w:rPr>
        <w:t xml:space="preserve">Wann passiert was?</w:t>
      </w:r>
    </w:p>
    <w:p>
      <w:pPr>
        <w:spacing w:after="100" w:before="0"/>
      </w:pPr>
      <w:r>
        <w:rPr>
          <w:rFonts w:ascii="Calibri" w:cs="Calibri" w:eastAsia="Calibri" w:hAnsi="Calibri"/>
          <w:i/>
          <w:iCs/>
          <w:color w:val="5B6B8C"/>
          <w:sz w:val="20"/>
          <w:szCs w:val="20"/>
        </w:rPr>
        <w:t xml:space="preserve">Minutengenauer Ablauf. Die Folien-Nummern beziehen sich auf die Präsentation.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3150"/>
        <w:gridCol w:w="4106"/>
      </w:tblGrid>
      <w:tr>
        <w:trPr>
          <w:cantSplit/>
          <w:trHeight w:val="440" w:hRule="atLeast"/>
        </w:trPr>
        <w:tc>
          <w:tcPr>
            <w:tcW w:type="dxa" w:w="10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 · Folie</w:t>
            </w:r>
          </w:p>
        </w:tc>
        <w:tc>
          <w:tcPr>
            <w:tcW w:type="dxa" w:w="31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die Klasse tut</w:t>
            </w:r>
          </w:p>
        </w:tc>
        <w:tc>
          <w:tcPr>
            <w:tcW w:type="dxa" w:w="41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Sie tun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Ankommen</w:t>
            </w:r>
          </w:p>
          <w:p>
            <w:pPr>
              <w:spacing w:after="0" w:before="0"/>
            </w:pPr>
            <w:r>
              <w:rPr>
                <w:rFonts w:ascii="Calibri" w:cs="Calibri" w:eastAsia="Calibri" w:hAnsi="Calibri"/>
                <w:color w:val="5B6B8C"/>
                <w:sz w:val="16"/>
                <w:szCs w:val="16"/>
              </w:rPr>
              <w:t xml:space="preserve">Folie 1 →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setzt sich wie gewohnt in die Reihen, findet das Arbeitsblatt auf dem Platz</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Einziger Satz der Einführung: „Heute steht alles auf den Folien – schaut einfach dorthin.“ Folie 2 zeigen, Timer 5 Min. starten.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Impuls EA → PA</w:t>
            </w:r>
          </w:p>
          <w:p>
            <w:pPr>
              <w:spacing w:after="0" w:before="0"/>
            </w:pPr>
            <w:r>
              <w:rPr>
                <w:rFonts w:ascii="Calibri" w:cs="Calibri" w:eastAsia="Calibri" w:hAnsi="Calibri"/>
                <w:color w:val="5B6B8C"/>
                <w:sz w:val="16"/>
                <w:szCs w:val="16"/>
              </w:rPr>
              <w:t xml:space="preserve">Folie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liest M1 still und markiert Kipppunkte mit ↯ (3'), vergleicht dann mit dem Sitznachbarn (2')</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Nichts sagen. Nach 3 Min. Handzeichen/Gong für den Partnervergleich.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5–13'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Kipppunkte benennen</w:t>
            </w:r>
          </w:p>
          <w:p>
            <w:pPr>
              <w:spacing w:after="0" w:before="0"/>
            </w:pPr>
            <w:r>
              <w:rPr>
                <w:rFonts w:ascii="Calibri" w:cs="Calibri" w:eastAsia="Calibri" w:hAnsi="Calibri"/>
                <w:color w:val="5B6B8C"/>
                <w:sz w:val="16"/>
                <w:szCs w:val="16"/>
              </w:rPr>
              <w:t xml:space="preserve">Folie 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Aufgabe 2 zu zweit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3, Timer 8 Min. Herumgehen und zuhören: Welche Paare finden Zeile 3? Die merken Sie sich fürs Gespräch.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13–18'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1: Kipppunkte</w:t>
            </w:r>
          </w:p>
          <w:p>
            <w:pPr>
              <w:spacing w:after="0" w:before="0"/>
            </w:pPr>
            <w:r>
              <w:rPr>
                <w:rFonts w:ascii="Calibri" w:cs="Calibri" w:eastAsia="Calibri" w:hAnsi="Calibri"/>
                <w:color w:val="5B6B8C"/>
                <w:sz w:val="16"/>
                <w:szCs w:val="16"/>
              </w:rPr>
              <w:t xml:space="preserve">Folie 3 → 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Paare nennen Zeile + Fachbegriff, ergänzen ihre Tabelle in anderer Farbe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„In welcher Zeile kippt es zum ersten Mal – und warum?“ Wer geantwortet hat, nimmt die nächste Person dran. Ziel: Zeilen 3, 4, 5, 7 – genau die werden gleich trainiert. Zum Schluss Folie 4.</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18–36'</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Technik-Training</w:t>
            </w:r>
          </w:p>
          <w:p>
            <w:pPr>
              <w:spacing w:after="0" w:before="0"/>
            </w:pPr>
            <w:r>
              <w:rPr>
                <w:rFonts w:ascii="Calibri" w:cs="Calibri" w:eastAsia="Calibri" w:hAnsi="Calibri"/>
                <w:color w:val="5B6B8C"/>
                <w:sz w:val="16"/>
                <w:szCs w:val="16"/>
              </w:rPr>
              <w:t xml:space="preserve">Folie 5</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Einzelarbeit, Technik für Technik: lesen → Kipppunkt aus M1 umschreiben → prüfen (A Z. 3, B Z. 4, C Z. 5, D Z. 7); danach 2' Vergleich mit dem Sitznachbarn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5. Timer 4 Min., bei jedem Gong neu starten (22', 26', 30', 34'). Herumgehen und lesen: Wer schreibt noch Du-Botschaften? Zwei gelungene Lösungen pro Technik für das Gespräch vormerken.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36–43'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2: Techniken sichern</w:t>
            </w:r>
          </w:p>
          <w:p>
            <w:pPr>
              <w:spacing w:after="0" w:before="0"/>
            </w:pPr>
            <w:r>
              <w:rPr>
                <w:rFonts w:ascii="Calibri" w:cs="Calibri" w:eastAsia="Calibri" w:hAnsi="Calibri"/>
                <w:color w:val="5B6B8C"/>
                <w:sz w:val="16"/>
                <w:szCs w:val="16"/>
              </w:rPr>
              <w:t xml:space="preserve">Folie 5 → 6 (→ 7)</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Pro Technik lesen 1–2 Personen ihre Lösung vor; die Klasse prüft mit der Mini-Checkliste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„Wer liest seine Ich-Botschaft vor? – Was ist daran gelungen?“ Gezielt die vorgemerkten Personen drannehmen. Dann Folie 6 zum Vergleich. Folie 7 (ganzer Dialog) nur, wenn Zeit bleibt.</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43–62'</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Umsetzen + eigene Szene</w:t>
            </w:r>
          </w:p>
          <w:p>
            <w:pPr>
              <w:spacing w:after="0" w:before="0"/>
            </w:pPr>
            <w:r>
              <w:rPr>
                <w:rFonts w:ascii="Calibri" w:cs="Calibri" w:eastAsia="Calibri" w:hAnsi="Calibri"/>
                <w:color w:val="5B6B8C"/>
                <w:sz w:val="16"/>
                <w:szCs w:val="16"/>
              </w:rPr>
              <w:t xml:space="preserve">Folie 8</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Reihen rücken zusammen, öffnen den Umschlag, verteilen Rollen (3'); erfinden eine eigene Situation, verteilen Besetzung A und B, proben in den letzten 5'</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8, Timer 3 + 16 Min. Nach 5 Min. Runde: Hat jede Gruppe eine Idee? Wenn nicht: erst Tippkarte, dann Notfall-Idee. Um ca. 57': eine Person als Moderation gewinnen und ihr die Moderationskarte geben.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62–75'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Bühne frei</w:t>
            </w:r>
          </w:p>
          <w:p>
            <w:pPr>
              <w:spacing w:after="0" w:before="0"/>
            </w:pPr>
            <w:r>
              <w:rPr>
                <w:rFonts w:ascii="Calibri" w:cs="Calibri" w:eastAsia="Calibri" w:hAnsi="Calibri"/>
                <w:color w:val="5B6B8C"/>
                <w:sz w:val="16"/>
                <w:szCs w:val="16"/>
              </w:rPr>
              <w:t xml:space="preserve">Folie 9</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 Mitte → Fenster spielen je Version A und B ohne Unterbrechung; das Publikum füllt den Beobachtungsbogen aus</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9. Ins Publikum setzen, die Moderation leitet. Pro Gruppe ca. 4 Min. Gelungene Formulierungen notieren.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75–84'</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Auswertung</w:t>
            </w:r>
          </w:p>
          <w:p>
            <w:pPr>
              <w:spacing w:after="0" w:before="0"/>
            </w:pPr>
            <w:r>
              <w:rPr>
                <w:rFonts w:ascii="Calibri" w:cs="Calibri" w:eastAsia="Calibri" w:hAnsi="Calibri"/>
                <w:color w:val="5B6B8C"/>
                <w:sz w:val="16"/>
                <w:szCs w:val="16"/>
              </w:rPr>
              <w:t xml:space="preserve">Folie 10</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2' still Bogen ergänzen → 2' Gruppe bespricht die Patenszene → Plenum: je Gruppe ca. 1,5 Min. Rückmeldung</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10. Die Moderation führt durch die Schritte (oder Sie übernehmen Schritt 3).</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84–90'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Exit-Ticket: Mini-Test</w:t>
            </w:r>
          </w:p>
          <w:p>
            <w:pPr>
              <w:spacing w:after="0" w:before="0"/>
            </w:pPr>
            <w:r>
              <w:rPr>
                <w:rFonts w:ascii="Calibri" w:cs="Calibri" w:eastAsia="Calibri" w:hAnsi="Calibri"/>
                <w:color w:val="5B6B8C"/>
                <w:sz w:val="16"/>
                <w:szCs w:val="16"/>
              </w:rPr>
              <w:t xml:space="preserve">Folie 11</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bearbeitet allein einen neuen Kurzdialog: Kipppunkt benennen, mit zwei Techniken umschreiben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11, Timer 6 Min. Einsammeln an der Tür. Das Format entspricht der Testaufgabe.</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danach</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Nachbereitung</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Mini-Tests sichten (Erwartungshorizont S. 4): Wer kann einen Kipppunkt allein umschreiben? Welche Technik gelingt noch nicht? Daraus die Übung für die nächste Stunde ableiten.</w:t>
            </w:r>
          </w:p>
        </w:tc>
      </w:tr>
    </w:tbl>
    <w:p>
      <w:pPr>
        <w:pageBreakBefore/>
        <w:spacing w:after="20" w:before="0"/>
      </w:pPr>
      <w:r>
        <w:rPr>
          <w:rFonts w:ascii="Calibri" w:cs="Calibri" w:eastAsia="Calibri" w:hAnsi="Calibri"/>
          <w:b/>
          <w:bCs/>
          <w:color w:val="5B6B8C"/>
          <w:sz w:val="18"/>
          <w:szCs w:val="18"/>
        </w:rPr>
        <w:t xml:space="preserve">ERWARTUNGSHORIZONT · UNTERRICHTSGESPRÄCH 1 · AUFGABE 2 (AUCH FOLIE 4)</w:t>
      </w:r>
    </w:p>
    <w:p>
      <w:pPr>
        <w:spacing w:after="60" w:before="0"/>
      </w:pPr>
      <w:r>
        <w:rPr>
          <w:rFonts w:ascii="Cambria" w:cs="Cambria" w:eastAsia="Cambria" w:hAnsi="Cambria"/>
          <w:b/>
          <w:bCs/>
          <w:color w:val="1E2761"/>
          <w:sz w:val="40"/>
          <w:szCs w:val="40"/>
        </w:rPr>
        <w:t xml:space="preserve">Kipppunkte in „Das Referat“</w:t>
      </w:r>
    </w:p>
    <w:p>
      <w:pPr>
        <w:spacing w:after="120" w:before="0"/>
      </w:pPr>
      <w:r>
        <w:rPr>
          <w:rFonts w:ascii="Calibri" w:cs="Calibri" w:eastAsia="Calibri" w:hAnsi="Calibri"/>
          <w:i/>
          <w:iCs/>
          <w:color w:val="5B6B8C"/>
          <w:sz w:val="20"/>
          <w:szCs w:val="20"/>
        </w:rPr>
        <w:t xml:space="preserve">Erwartung: mindestens drei Kipppunkte, darunter Zeile 3. Andere Begründungen sind richtig, wenn sie mit dem Text und einem Modell belegt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4006"/>
        <w:gridCol w:w="2500"/>
      </w:tblGrid>
      <w:tr>
        <w:trPr>
          <w:cantSplit/>
          <w:trHeight w:val="44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passiert?</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Warum kippt es hier?</w:t>
            </w:r>
          </w:p>
        </w:tc>
        <w:tc>
          <w:tcPr>
            <w:tcW w:type="dxa" w:w="2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hätte geholfen?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 ★</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„Du hattest eine ganze Woche Zeit.“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Erster Kipppunkt. Lenas Selbstkundgabe (Ich bin nervös wegen morgen) versteckt sich in einem Vorwurf, also einer Du-Botschaft. Tom hört mit dem Beziehungsohr: „Du hältst mich für unzuverlässig.“</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Bitte mit Uhrzeit</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„Nicht jeder hat so viel Freizeit wie du.“</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Tom verteidigt sich mit einem Gegenangriff auf der Beziehungsebene statt die Sache zu klären. Beginn der symmetrischen Eskalation: Jeder will „oben“ bleiben.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B Empathie: Lenas Stress anerkennen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„Immer bleibt alles an mir hängen.“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Verallgemeinerung („immer“). Lenas eigentliches Gefühl (überfordert, allein gelassen) kommt nur als Anklage an. Interpunktion: Beide sehen sich als diejenigen, die nur reagieren.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Bedürfnis nennen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„Super. Genau das hab ich von dir erwartet.“ (verdreht die Augen)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Ironie: Die Worte sind positiv, Tonfall und Mimik negativ. Das ist eine inkongruente Botschaft (digitale und analoge Ebene widersprechen sich). Zugleich wertet Lena Tom als Person ab.</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Metakommunikation: Streit benennen, gemeinsames Ziel</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8–9</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Tom schaut aufs Handy. Lena: „Ist ja auch wichtiger.“</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„Man kann nicht nicht kommunizieren.“ Toms Rückzug ist auch eine Botschaft. Lena deutet ihn als Desinteresse, Tom meint vermutlich: „Ich will nicht mehr streiten.“ Danach ist das Gespräch kaum noch zu retten.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„Wie meinst du das?“, B Gefühl ansprechen</w:t>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D9534F"/>
                <w:sz w:val="22"/>
                <w:szCs w:val="22"/>
              </w:rPr>
              <w:t xml:space="preserve">★ Warum Zeile 3?  </w:t>
            </w:r>
            <w:r>
              <w:rPr>
                <w:rFonts w:ascii="Calibri" w:cs="Calibri" w:eastAsia="Calibri" w:hAnsi="Calibri"/>
                <w:color w:val="000000"/>
                <w:sz w:val="20"/>
                <w:szCs w:val="20"/>
              </w:rPr>
              <w:t xml:space="preserve">Hier ist noch nichts passiert, das man zurücknehmen müsste. Lena will eigentlich nur Sicherheit für morgen. Hätte sie das als Ich-Botschaft gesagt, wäre Tom gar nicht in die Verteidigung gegangen. Jeder spätere Kipppunkt baut auf dem vorherigen auf – je später man eingreift, desto schwerer wird es.</w:t>
            </w:r>
          </w:p>
        </w:tc>
      </w:tr>
    </w:tbl>
    <w:p>
      <w:pPr>
        <w:pageBreakBefore/>
        <w:spacing w:after="20" w:before="0"/>
      </w:pPr>
      <w:r>
        <w:rPr>
          <w:rFonts w:ascii="Calibri" w:cs="Calibri" w:eastAsia="Calibri" w:hAnsi="Calibri"/>
          <w:b/>
          <w:bCs/>
          <w:color w:val="5B6B8C"/>
          <w:sz w:val="18"/>
          <w:szCs w:val="18"/>
        </w:rPr>
        <w:t xml:space="preserve">ERWARTUNGSHORIZONT · TECHNIK-TRAINING (AUFGABE 3) UND MINI-TEST</w:t>
      </w:r>
    </w:p>
    <w:p>
      <w:pPr>
        <w:spacing w:after="60" w:before="0"/>
      </w:pPr>
      <w:r>
        <w:rPr>
          <w:rFonts w:ascii="Cambria" w:cs="Cambria" w:eastAsia="Cambria" w:hAnsi="Cambria"/>
          <w:b/>
          <w:bCs/>
          <w:color w:val="1E2761"/>
          <w:sz w:val="40"/>
          <w:szCs w:val="40"/>
        </w:rPr>
        <w:t xml:space="preserve">So können die Kipppunkte klingen</w:t>
      </w:r>
    </w:p>
    <w:p>
      <w:pPr>
        <w:spacing w:after="120" w:before="0"/>
      </w:pPr>
      <w:r>
        <w:rPr>
          <w:rFonts w:ascii="Calibri" w:cs="Calibri" w:eastAsia="Calibri" w:hAnsi="Calibri"/>
          <w:i/>
          <w:iCs/>
          <w:color w:val="5B6B8C"/>
          <w:sz w:val="20"/>
          <w:szCs w:val="20"/>
        </w:rPr>
        <w:t xml:space="preserve">Mögliche Lösungen – Schülerlösungen dürfen ganz anders klingen. Entscheidend ist, dass die Merkmale der Technik erkennbar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5006"/>
        <w:gridCol w:w="2400"/>
      </w:tblGrid>
      <w:tr>
        <w:trPr>
          <w:cantSplit/>
          <w:trHeight w:val="4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Technik</w:t>
            </w:r>
          </w:p>
        </w:tc>
        <w:tc>
          <w:tcPr>
            <w:tcW w:type="dxa" w:w="5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Mögliche Lösung</w:t>
            </w:r>
          </w:p>
        </w:tc>
        <w:tc>
          <w:tcPr>
            <w:tcW w:type="dxa" w:w="2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Daran erkennt man’s</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3F7CC4"/>
                <w:sz w:val="30"/>
                <w:szCs w:val="30"/>
              </w:rPr>
              <w:t xml:space="preserve">A</w:t>
            </w:r>
          </w:p>
          <w:p>
            <w:pPr>
              <w:spacing w:after="0" w:before="0"/>
            </w:pPr>
            <w:r>
              <w:rPr>
                <w:rFonts w:ascii="Calibri" w:cs="Calibri" w:eastAsia="Calibri" w:hAnsi="Calibri"/>
                <w:b/>
                <w:bCs/>
                <w:color w:val="3F7CC4"/>
                <w:sz w:val="18"/>
                <w:szCs w:val="18"/>
              </w:rPr>
              <w:t xml:space="preserve">Ich-Botschaft</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„Heute Abend? Ehrlich gesagt macht mich das nervös, weil wir morgen schon dran sind und ich die Folien vorher einmal sehen wollte.“</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Ich-Form · Gefühl (nervös) · Grund · kein Vorwurf</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2E9E6B"/>
                <w:sz w:val="30"/>
                <w:szCs w:val="30"/>
              </w:rPr>
              <w:t xml:space="preserve">B</w:t>
            </w:r>
          </w:p>
          <w:p>
            <w:pPr>
              <w:spacing w:after="0" w:before="0"/>
            </w:pPr>
            <w:r>
              <w:rPr>
                <w:rFonts w:ascii="Calibri" w:cs="Calibri" w:eastAsia="Calibri" w:hAnsi="Calibri"/>
                <w:b/>
                <w:bCs/>
                <w:color w:val="2E9E6B"/>
                <w:sz w:val="18"/>
                <w:szCs w:val="18"/>
              </w:rPr>
              <w:t xml:space="preserve">Empathie</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„Du bist gestresst, weil morgen alles klappen soll, oder? Das verstehe ich. Ich hab’s mit dem Training unterschätzt.“</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Gefühl des anderen benannt · erst verstehen, dann erklären · kein Gegenangriff</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E8A33D"/>
                <w:sz w:val="30"/>
                <w:szCs w:val="30"/>
              </w:rPr>
              <w:t xml:space="preserve">C</w:t>
            </w:r>
          </w:p>
          <w:p>
            <w:pPr>
              <w:spacing w:after="0" w:before="0"/>
            </w:pPr>
            <w:r>
              <w:rPr>
                <w:rFonts w:ascii="Calibri" w:cs="Calibri" w:eastAsia="Calibri" w:hAnsi="Calibri"/>
                <w:b/>
                <w:bCs/>
                <w:color w:val="E8A33D"/>
                <w:sz w:val="18"/>
                <w:szCs w:val="18"/>
              </w:rPr>
              <w:t xml:space="preserve">Wunsch &amp; Bitte</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„Mir ist wichtig, dass wir morgen sicher sind. Kannst du mir die Folien bis 19 Uhr schicken, damit ich drüberschauen kann?“</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Bedürfnis statt „immer“ · konkret: wer, was, bis wann · als Frage</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8E5BB5"/>
                <w:sz w:val="30"/>
                <w:szCs w:val="30"/>
              </w:rPr>
              <w:t xml:space="preserve">D</w:t>
            </w:r>
          </w:p>
          <w:p>
            <w:pPr>
              <w:spacing w:after="0" w:before="0"/>
            </w:pPr>
            <w:r>
              <w:rPr>
                <w:rFonts w:ascii="Calibri" w:cs="Calibri" w:eastAsia="Calibri" w:hAnsi="Calibri"/>
                <w:b/>
                <w:bCs/>
                <w:color w:val="8E5BB5"/>
                <w:sz w:val="18"/>
                <w:szCs w:val="18"/>
              </w:rPr>
              <w:t xml:space="preserve">Metakommunikation</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„Moment. Wir werfen uns gerade nur noch Sachen an den Kopf. Eigentlich wollen wir doch beide ein gutes Referat, oder?“</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benennt das Gespräch selbst · kein neuer Vorwurf · gemeinsames Ziel</w:t>
            </w:r>
          </w:p>
        </w:tc>
      </w:tr>
    </w:tbl>
    <w:p>
      <w:pPr>
        <w:keepNext/>
        <w:spacing w:after="80" w:before="140"/>
      </w:pPr>
      <w:r>
        <w:rPr>
          <w:rFonts w:ascii="Cambria" w:cs="Cambria" w:eastAsia="Cambria" w:hAnsi="Cambria"/>
          <w:b/>
          <w:bCs/>
          <w:color w:val="1E2761"/>
          <w:sz w:val="26"/>
          <w:szCs w:val="26"/>
        </w:rPr>
        <w:t xml:space="preserve">✓  </w:t>
      </w:r>
      <w:r>
        <w:rPr>
          <w:rFonts w:ascii="Cambria" w:cs="Cambria" w:eastAsia="Cambria" w:hAnsi="Cambria"/>
          <w:b/>
          <w:bCs/>
          <w:color w:val="1E2761"/>
          <w:sz w:val="26"/>
          <w:szCs w:val="26"/>
        </w:rPr>
        <w:t xml:space="preserve">Erwartungshorizont Mini-Test (Exit-Ticket)</w:t>
      </w:r>
    </w:p>
    <w:p>
      <w:pPr>
        <w:spacing w:after="60" w:before="0"/>
      </w:pPr>
      <w:r>
        <w:rPr>
          <w:rFonts w:ascii="Calibri" w:cs="Calibri" w:eastAsia="Calibri" w:hAnsi="Calibri"/>
          <w:b/>
          <w:bCs/>
          <w:color w:val="000000"/>
          <w:sz w:val="20"/>
          <w:szCs w:val="20"/>
        </w:rPr>
        <w:t xml:space="preserve">Dialog: </w:t>
      </w:r>
      <w:r>
        <w:rPr>
          <w:rFonts w:ascii="Calibri" w:cs="Calibri" w:eastAsia="Calibri" w:hAnsi="Calibri"/>
          <w:color w:val="000000"/>
          <w:sz w:val="20"/>
          <w:szCs w:val="20"/>
        </w:rPr>
        <w:t xml:space="preserve">Mia fragt, ob sie auf eine Party darf. Zeile 4, Vater: „Du bist doch sowieso immer die Letzte, die nach Hause kommt.“</w:t>
      </w:r>
    </w:p>
    <w:p>
      <w:pPr>
        <w:spacing w:after="60" w:before="0"/>
      </w:pPr>
      <w:r>
        <w:rPr>
          <w:rFonts w:ascii="Calibri" w:cs="Calibri" w:eastAsia="Calibri" w:hAnsi="Calibri"/>
          <w:b/>
          <w:bCs/>
          <w:color w:val="D9534F"/>
          <w:sz w:val="22"/>
          <w:szCs w:val="22"/>
        </w:rPr>
        <w:t xml:space="preserve">1  </w:t>
      </w:r>
      <w:r>
        <w:rPr>
          <w:rFonts w:ascii="Calibri" w:cs="Calibri" w:eastAsia="Calibri" w:hAnsi="Calibri"/>
          <w:color w:val="000000"/>
          <w:sz w:val="20"/>
          <w:szCs w:val="20"/>
        </w:rPr>
        <w:t xml:space="preserve">Zeile 4. Du-Botschaft mit Verallgemeinerung („immer“); die Sorge des Vaters (Selbstkundgabe) kommt als Vorwurf an. Mia hört mit dem Beziehungsohr: „Du vertraust mir nicht“ – Zeile 5 ist die Gegenreaktion (symmetrische Eskalation).</w:t>
      </w:r>
    </w:p>
    <w:p>
      <w:pPr>
        <w:spacing w:after="60" w:before="0"/>
      </w:pPr>
      <w:r>
        <w:rPr>
          <w:rFonts w:ascii="Calibri" w:cs="Calibri" w:eastAsia="Calibri" w:hAnsi="Calibri"/>
          <w:b/>
          <w:bCs/>
          <w:color w:val="D9534F"/>
          <w:sz w:val="22"/>
          <w:szCs w:val="22"/>
        </w:rPr>
        <w:t xml:space="preserve">2  </w:t>
      </w:r>
      <w:r>
        <w:rPr>
          <w:rFonts w:ascii="Calibri" w:cs="Calibri" w:eastAsia="Calibri" w:hAnsi="Calibri"/>
          <w:color w:val="000000"/>
          <w:sz w:val="20"/>
          <w:szCs w:val="20"/>
        </w:rPr>
        <w:t xml:space="preserve">z. B. „Ich mache mir Sorgen, wenn du nachts allein unterwegs bist (A). Kannst du mir schreiben, wenn du losfährst, und spätestens um eins zu Hause sein? (C)“ – oder mit Empathie: „Du freust dich total auf die Party, oder? (B) …“</w:t>
      </w:r>
    </w:p>
    <w:p>
      <w:pPr>
        <w:spacing w:after="0" w:before="0"/>
      </w:pPr>
      <w:r>
        <w:rPr>
          <w:rFonts w:ascii="Calibri" w:cs="Calibri" w:eastAsia="Calibri" w:hAnsi="Calibri"/>
          <w:b/>
          <w:bCs/>
          <w:color w:val="1E2761"/>
          <w:sz w:val="20"/>
          <w:szCs w:val="20"/>
        </w:rPr>
        <w:t xml:space="preserve">Bewertung: </w:t>
      </w:r>
      <w:r>
        <w:rPr>
          <w:rFonts w:ascii="Calibri" w:cs="Calibri" w:eastAsia="Calibri" w:hAnsi="Calibri"/>
          <w:color w:val="000000"/>
          <w:sz w:val="20"/>
          <w:szCs w:val="20"/>
        </w:rPr>
        <w:t xml:space="preserve">Kipppunkt richtig + begründet · zwei Techniken erkennbar und richtig benannt · kein neuer Vorwurf, kein „immer“/„nie“.</w:t>
      </w:r>
    </w:p>
    <w:sectPr>
      <w:footerReference w:type="default" r:id="rId7"/>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Lehrermaterial &amp; Lösungen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2026-09-25T19:43:44.830Z</dcterms:created>
  <dcterms:modified xsi:type="dcterms:W3CDTF">2026-09-25T19:43:44.830Z</dcterms:modified>
</cp:coreProperties>
</file>

<file path=docProps/custom.xml><?xml version="1.0" encoding="utf-8"?>
<Properties xmlns="http://schemas.openxmlformats.org/officeDocument/2006/custom-properties" xmlns:vt="http://schemas.openxmlformats.org/officeDocument/2006/docPropsVTypes"/>
</file>