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b/>
          <w:bCs/>
          <w:color w:val="AD4426"/>
          <w:sz w:val="16"/>
          <w:szCs w:val="16"/>
        </w:rPr>
        <w:t xml:space="preserve">HANDREICHUNG · GESCHICHTE KLASSE 11 · DOPPELSTUNDE (70 MIN., DANACH KLAUSURVORBEREITUNG)</w:t>
      </w:r>
    </w:p>
    <w:p>
      <w:pPr>
        <w:spacing w:after="140"/>
      </w:pPr>
      <w:r>
        <w:rPr>
          <w:rFonts w:ascii="Cambria" w:cs="Cambria" w:eastAsia="Cambria" w:hAnsi="Cambria"/>
          <w:b/>
          <w:bCs/>
          <w:color w:val="2B2318"/>
          <w:sz w:val="34"/>
          <w:szCs w:val="34"/>
        </w:rPr>
        <w:t xml:space="preserve">Bürgeramt Athen: Solons Verfassung durchspielen und beurteilen</w:t>
      </w:r>
    </w:p>
    <w:p>
      <w:pPr>
        <w:spacing w:after="80" w:before="0"/>
      </w:pPr>
      <w:r>
        <w:rPr>
          <w:b/>
          <w:bCs/>
          <w:sz w:val="20"/>
          <w:szCs w:val="20"/>
        </w:rPr>
        <w:t xml:space="preserve">Ziel:</w:t>
      </w:r>
      <w:r>
        <w:rPr>
          <w:sz w:val="20"/>
          <w:szCs w:val="20"/>
        </w:rPr>
        <w:t xml:space="preserve"> Die Schülerinnen und Schüler wenden das Verfassungsschaubild auf neun konkrete Anliegen an, begründen ihre Entscheidungen mit Klassen und Organen und rekonstruieren das Schaubild anschließend aus dem Gedächtnis.</w:t>
      </w:r>
    </w:p>
    <w:p>
      <w:pPr>
        <w:spacing w:after="80" w:before="0"/>
      </w:pPr>
      <w:r>
        <w:rPr>
          <w:b/>
          <w:bCs/>
          <w:sz w:val="20"/>
          <w:szCs w:val="20"/>
        </w:rPr>
        <w:t xml:space="preserve">Curriculum:</w:t>
      </w:r>
      <w:r>
        <w:rPr>
          <w:sz w:val="20"/>
          <w:szCs w:val="20"/>
        </w:rPr>
        <w:t xml:space="preserve"> E1 Antike, BM 2: Wandel durch Solon; Lesen und Visualisieren von Verfassungsschaubildern.</w:t>
      </w:r>
    </w:p>
    <w:p>
      <w:pPr>
        <w:keepNext/>
        <w:spacing w:after="100" w:before="220"/>
      </w:pPr>
      <w:r>
        <w:rPr>
          <w:rFonts w:ascii="Cambria" w:cs="Cambria" w:eastAsia="Cambria" w:hAnsi="Cambria"/>
          <w:b/>
          <w:bCs/>
          <w:color w:val="AD4426"/>
          <w:sz w:val="25"/>
          <w:szCs w:val="25"/>
        </w:rPr>
        <w:t xml:space="preserve">1. Was du ausdrucken musst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4138"/>
      </w:tblGrid>
      <w:tr>
        <w:trPr>
          <w:tblHeader/>
        </w:trPr>
        <w:tc>
          <w:tcPr>
            <w:tcW w:type="dxa" w:w="32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Material</w:t>
            </w:r>
          </w:p>
        </w:tc>
        <w:tc>
          <w:tcPr>
            <w:tcW w:type="dxa" w:w="23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Menge</w:t>
            </w:r>
          </w:p>
        </w:tc>
        <w:tc>
          <w:tcPr>
            <w:tcW w:type="dxa" w:w="4138"/>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Hinweis</w:t>
            </w:r>
          </w:p>
        </w:tc>
      </w:tr>
      <w:tr>
        <w:trPr>
          <w:cantSplit/>
        </w:trPr>
        <w:tc>
          <w:tcPr>
            <w:tcW w:type="dxa" w:w="32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30" w:before="0"/>
            </w:pPr>
            <w:r>
              <w:rPr>
                <w:b/>
                <w:bCs/>
                <w:sz w:val="18"/>
                <w:szCs w:val="18"/>
              </w:rPr>
              <w:t xml:space="preserve">Anliegenkarten</w:t>
            </w:r>
          </w:p>
          <w:p>
            <w:pPr>
              <w:spacing w:after="30" w:before="0"/>
            </w:pPr>
            <w:r>
              <w:rPr>
                <w:sz w:val="18"/>
                <w:szCs w:val="18"/>
              </w:rPr>
              <w:t xml:space="preserve">Anliegenkarten_Buergeramt.docx</w:t>
            </w:r>
          </w:p>
        </w:tc>
        <w:tc>
          <w:tcPr>
            <w:tcW w:type="dxa" w:w="2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1 × (3 Seiten)</w:t>
            </w:r>
          </w:p>
        </w:tc>
        <w:tc>
          <w:tcPr>
            <w:tcW w:type="dxa" w:w="4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In 9 Karten schneiden, eine pro Tisch.</w:t>
            </w:r>
          </w:p>
        </w:tc>
      </w:tr>
      <w:tr>
        <w:trPr>
          <w:cantSplit/>
        </w:trPr>
        <w:tc>
          <w:tcPr>
            <w:tcW w:type="dxa" w:w="32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30" w:before="0"/>
            </w:pPr>
            <w:r>
              <w:rPr>
                <w:b/>
                <w:bCs/>
                <w:sz w:val="18"/>
                <w:szCs w:val="18"/>
              </w:rPr>
              <w:t xml:space="preserve">Ergebnistabelle</w:t>
            </w:r>
          </w:p>
          <w:p>
            <w:pPr>
              <w:spacing w:after="30" w:before="0"/>
            </w:pPr>
            <w:r>
              <w:rPr>
                <w:sz w:val="18"/>
                <w:szCs w:val="18"/>
              </w:rPr>
              <w:t xml:space="preserve">Ergebnistabelle_Buergeramt_A5.docx</w:t>
            </w:r>
          </w:p>
        </w:tc>
        <w:tc>
          <w:tcPr>
            <w:tcW w:type="dxa" w:w="2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halb so viele Blätter wie Schüler</w:t>
            </w:r>
          </w:p>
        </w:tc>
        <w:tc>
          <w:tcPr>
            <w:tcW w:type="dxa" w:w="4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A4 quer, 2 Exemplare pro Blatt, in der Mitte schneiden.</w:t>
            </w:r>
          </w:p>
        </w:tc>
      </w:tr>
      <w:tr>
        <w:trPr>
          <w:cantSplit/>
        </w:trPr>
        <w:tc>
          <w:tcPr>
            <w:tcW w:type="dxa" w:w="32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30" w:before="0"/>
            </w:pPr>
            <w:r>
              <w:rPr>
                <w:b/>
                <w:bCs/>
                <w:sz w:val="18"/>
                <w:szCs w:val="18"/>
              </w:rPr>
              <w:t xml:space="preserve">Stummes Schaubild</w:t>
            </w:r>
          </w:p>
          <w:p>
            <w:pPr>
              <w:spacing w:after="30" w:before="0"/>
            </w:pPr>
            <w:r>
              <w:rPr>
                <w:sz w:val="18"/>
                <w:szCs w:val="18"/>
              </w:rPr>
              <w:t xml:space="preserve">Stummes_Schaubild_A5.docx</w:t>
            </w:r>
          </w:p>
        </w:tc>
        <w:tc>
          <w:tcPr>
            <w:tcW w:type="dxa" w:w="2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halb so viele Blätter wie Schüler</w:t>
            </w:r>
          </w:p>
        </w:tc>
        <w:tc>
          <w:tcPr>
            <w:tcW w:type="dxa" w:w="4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A4 quer, 2 Exemplare pro Blatt, in der Mitte schneiden.</w:t>
            </w:r>
          </w:p>
        </w:tc>
      </w:tr>
      <w:tr>
        <w:trPr>
          <w:cantSplit/>
        </w:trPr>
        <w:tc>
          <w:tcPr>
            <w:tcW w:type="dxa" w:w="32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30" w:before="0"/>
            </w:pPr>
            <w:r>
              <w:rPr>
                <w:b/>
                <w:bCs/>
                <w:sz w:val="18"/>
                <w:szCs w:val="18"/>
              </w:rPr>
              <w:t xml:space="preserve">Urteilsblatt</w:t>
            </w:r>
          </w:p>
          <w:p>
            <w:pPr>
              <w:spacing w:after="30" w:before="0"/>
            </w:pPr>
            <w:r>
              <w:rPr>
                <w:sz w:val="18"/>
                <w:szCs w:val="18"/>
              </w:rPr>
              <w:t xml:space="preserve">Urteilsblatt_A5.docx</w:t>
            </w:r>
          </w:p>
        </w:tc>
        <w:tc>
          <w:tcPr>
            <w:tcW w:type="dxa" w:w="23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halb so viele Blätter wie Schüler</w:t>
            </w:r>
          </w:p>
        </w:tc>
        <w:tc>
          <w:tcPr>
            <w:tcW w:type="dxa" w:w="4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A4 quer, 2 Exemplare pro Blatt. Wird am Ende eingesammelt (Diagnose).</w:t>
            </w:r>
          </w:p>
        </w:tc>
      </w:tr>
    </w:tbl>
    <w:p>
      <w:pPr>
        <w:keepNext/>
        <w:spacing w:after="100" w:before="220"/>
      </w:pPr>
      <w:r>
        <w:rPr>
          <w:rFonts w:ascii="Cambria" w:cs="Cambria" w:eastAsia="Cambria" w:hAnsi="Cambria"/>
          <w:b/>
          <w:bCs/>
          <w:color w:val="AD4426"/>
          <w:sz w:val="25"/>
          <w:szCs w:val="25"/>
        </w:rPr>
        <w:t xml:space="preserve">2. Checkliste vor der Stunde</w:t>
      </w:r>
    </w:p>
    <w:p>
      <w:pPr>
        <w:spacing w:after="50" w:before="0"/>
      </w:pPr>
      <w:r>
        <w:rPr>
          <w:sz w:val="20"/>
          <w:szCs w:val="20"/>
        </w:rPr>
        <w:t xml:space="preserve">☐  Folien_Buergeramt_Athen.pptx auf den Rechner im Klassenraum kopieren.</w:t>
      </w:r>
    </w:p>
    <w:p>
      <w:pPr>
        <w:spacing w:after="50" w:before="0"/>
      </w:pPr>
      <w:r>
        <w:rPr>
          <w:sz w:val="20"/>
          <w:szCs w:val="20"/>
        </w:rPr>
        <w:t xml:space="preserve">☐  Karten, Ergebnistabellen und stumme Schaubilder schneiden.</w:t>
      </w:r>
    </w:p>
    <w:p>
      <w:pPr>
        <w:spacing w:after="50" w:before="0"/>
      </w:pPr>
      <w:r>
        <w:rPr>
          <w:sz w:val="20"/>
          <w:szCs w:val="20"/>
        </w:rPr>
        <w:t xml:space="preserve">☐  Tafel: Tabelle mit den Spalten Nr. · Anliegen · ✔ · ✘ · weil … vorbereiten – oder Folie 6 aufs Whiteboard projizieren und direkt hineinschreiben lassen.</w:t>
      </w:r>
    </w:p>
    <w:p>
      <w:pPr>
        <w:spacing w:after="50" w:before="0"/>
      </w:pPr>
      <w:r>
        <w:rPr>
          <w:sz w:val="20"/>
          <w:szCs w:val="20"/>
        </w:rPr>
        <w:t xml:space="preserve">☐  Die Schüler brauchen LB S. 21 (Schaubild) und ihr Heft.</w:t>
      </w:r>
    </w:p>
    <w:p>
      <w:pPr>
        <w:keepNext/>
        <w:spacing w:after="100" w:before="220"/>
      </w:pPr>
      <w:r>
        <w:rPr>
          <w:rFonts w:ascii="Cambria" w:cs="Cambria" w:eastAsia="Cambria" w:hAnsi="Cambria"/>
          <w:b/>
          <w:bCs/>
          <w:color w:val="AD4426"/>
          <w:sz w:val="25"/>
          <w:szCs w:val="25"/>
        </w:rPr>
        <w:t xml:space="preserve">3. Verlauf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1650"/>
        <w:gridCol w:w="4188"/>
        <w:gridCol w:w="1450"/>
        <w:gridCol w:w="1500"/>
      </w:tblGrid>
      <w:tr>
        <w:trPr>
          <w:tblHeader/>
        </w:trPr>
        <w:tc>
          <w:tcPr>
            <w:tcW w:type="dxa" w:w="85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Zeit</w:t>
            </w:r>
          </w:p>
        </w:tc>
        <w:tc>
          <w:tcPr>
            <w:tcW w:type="dxa" w:w="165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Phase</w:t>
            </w:r>
          </w:p>
        </w:tc>
        <w:tc>
          <w:tcPr>
            <w:tcW w:type="dxa" w:w="4188"/>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Ablauf</w:t>
            </w:r>
          </w:p>
        </w:tc>
        <w:tc>
          <w:tcPr>
            <w:tcW w:type="dxa" w:w="145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Sozialform</w:t>
            </w:r>
          </w:p>
        </w:tc>
        <w:tc>
          <w:tcPr>
            <w:tcW w:type="dxa" w:w="15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Folien</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0–3</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Bild-Impuls</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Cartoon der Sachbearbeiterin: „Was stimmt an diesem Bild nicht?“ Zu zweit drei Fehler suchen (Frau im Amt, Brille, Kaffee). Auflösung: Ein Bild ist eine Darstellung, keine Quelle – der Satz in der Sprechblase stimmt aber.</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PA, Plenum</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2–3</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3–5</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Einstieg</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Situation: Ihr seid die Beamten im Bürgeramt. Pro Tisch ein Anliegen austeilen.</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Plenum</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6</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5–14</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Am Tisch</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Anliegen prüfen, genehmigt oder abgelehnt, jeder schreibt die Begründung ins Heft. Einen „Beamten“ für die Tafel bestimmen.</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GA, EA</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5</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14–28</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Tafel</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Die Beamten tragen nacheinander ihre Entscheidung ein und begründen in einem Satz. Alle füllen ihre Ergebnistabelle aus.</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Plenum</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6</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28–30</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Lösung</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Selbstkontrolle. Kurzer Impuls: Anliegen 4 und 7 vergleichen – Geld statt Blut.</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Plenum</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7</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30–37</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Sicherung</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Buch und Hefter zu. Stummes Schaubild ausfüllen.</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EA</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8</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37–40</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Selbstkontrolle</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Lösung zeigen, Fehler farbig markieren. Blatt in den Hefter.</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EA</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9</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40–46</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Demokratie?</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Daumenabfrage (Erwartung: Nein). Paare ordnen sechs Merkmale „demokratisch“ / „timokratisch“ zu. Auflösung: beides.</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Plenum, PA</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10–12</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46–53</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Sachurteil</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Urteilsblatt: „War Solons Verfassung eher demokratisch oder eher timokratisch?“ Danach still mit dem Beispiel vergleichen.</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EA</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13–14</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53–60</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Werturteil</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Alle dieselbe Frage: „Ist es gerecht, dass die Ämter vom Besitz abhängen?“ Jeder wählt seinen Maßstab (1–4) und begründet.</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EA</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15</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60–65</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Feedback</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Blätter tauschen, Checkliste auf dem Blatt ausfüllen, einen Tipp schreiben.</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PA</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16</w:t>
            </w:r>
          </w:p>
        </w:tc>
      </w:tr>
      <w:tr>
        <w:trPr>
          <w:cantSplit/>
        </w:trPr>
        <w:tc>
          <w:tcPr>
            <w:tcW w:type="dxa" w:w="85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65–70</w:t>
            </w:r>
          </w:p>
        </w:tc>
        <w:tc>
          <w:tcPr>
            <w:tcW w:type="dxa" w:w="16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Beispiele, Merksatz</w:t>
            </w:r>
          </w:p>
        </w:tc>
        <w:tc>
          <w:tcPr>
            <w:tcW w:type="dxa" w:w="418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Optional zwei Schülerurteile vorlesen (gelungen / zu verbessern). Zwei Beispielurteile mit verschiedenen Maßstäben. Urteilsblätter einsammeln.</w:t>
            </w:r>
          </w:p>
        </w:tc>
        <w:tc>
          <w:tcPr>
            <w:tcW w:type="dxa" w:w="145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Plenum</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17</w:t>
            </w:r>
          </w:p>
        </w:tc>
      </w:tr>
    </w:tbl>
    <w:p>
      <w:pPr>
        <w:keepNext/>
        <w:spacing w:after="100" w:before="220"/>
      </w:pPr>
      <w:r>
        <w:rPr>
          <w:rFonts w:ascii="Cambria" w:cs="Cambria" w:eastAsia="Cambria" w:hAnsi="Cambria"/>
          <w:b/>
          <w:bCs/>
          <w:color w:val="AD4426"/>
          <w:sz w:val="25"/>
          <w:szCs w:val="25"/>
        </w:rPr>
        <w:t xml:space="preserve">4. Hinweise</w:t>
      </w:r>
    </w:p>
    <w:p>
      <w:pPr>
        <w:spacing w:after="80" w:before="0"/>
      </w:pPr>
      <w:r>
        <w:rPr>
          <w:b/>
          <w:bCs/>
          <w:sz w:val="19"/>
          <w:szCs w:val="19"/>
        </w:rPr>
        <w:t xml:space="preserve">Am Tisch:</w:t>
      </w:r>
      <w:r>
        <w:rPr>
          <w:sz w:val="19"/>
          <w:szCs w:val="19"/>
        </w:rPr>
        <w:t xml:space="preserve"> Häufigste Lücke ist eine Entscheidung ohne Begründung. Nachfragen: Welche Klasse? Welches Organ ist zuständig?</w:t>
      </w:r>
    </w:p>
    <w:p>
      <w:pPr>
        <w:spacing w:after="80" w:before="0"/>
      </w:pPr>
      <w:r>
        <w:rPr>
          <w:b/>
          <w:bCs/>
          <w:sz w:val="19"/>
          <w:szCs w:val="19"/>
        </w:rPr>
        <w:t xml:space="preserve">An der Tafel:</w:t>
      </w:r>
      <w:r>
        <w:rPr>
          <w:sz w:val="19"/>
          <w:szCs w:val="19"/>
        </w:rPr>
        <w:t xml:space="preserve"> Falsche Entscheidungen nicht selbst korrigieren, sondern an die Klasse geben: „Stimmt ihr zu? Schaut ins Schaubild.“ So bleibt die Klärung bei den Schülern.</w:t>
      </w:r>
    </w:p>
    <w:p>
      <w:pPr>
        <w:spacing w:after="80" w:before="0"/>
      </w:pPr>
      <w:r>
        <w:rPr>
          <w:b/>
          <w:bCs/>
          <w:sz w:val="19"/>
          <w:szCs w:val="19"/>
        </w:rPr>
        <w:t xml:space="preserve">Stummes Schaubild:</w:t>
      </w:r>
      <w:r>
        <w:rPr>
          <w:sz w:val="19"/>
          <w:szCs w:val="19"/>
        </w:rPr>
        <w:t xml:space="preserve"> Es ist bewusst anders angeordnet als im Buch. Aufgabe 3 (Lykons Rechte) lässt sich nur mit Verständnis lösen. Eingesammelt zeigt das Blatt, wer das Schaubild verstanden hat.</w:t>
      </w:r>
    </w:p>
    <w:p>
      <w:pPr>
        <w:spacing w:after="80" w:before="0"/>
      </w:pPr>
      <w:r>
        <w:rPr>
          <w:b/>
          <w:bCs/>
          <w:sz w:val="19"/>
          <w:szCs w:val="19"/>
        </w:rPr>
        <w:t xml:space="preserve">Urteilsblatt:</w:t>
      </w:r>
      <w:r>
        <w:rPr>
          <w:sz w:val="19"/>
          <w:szCs w:val="19"/>
        </w:rPr>
        <w:t xml:space="preserve"> Alle beantworten dieselben Fragen. Eingesammelt zeigt das Blatt, wie sicher die Klasse Sach- und Werturteil inzwischen trennt: Ist das Sachurteil aus der damaligen Zeit heraus begründet? Wird beim Werturteil der Maßstab genannt? Unterschiedliche Werturteile sind richtig, wenn sie begründet sind.</w:t>
      </w:r>
    </w:p>
    <w:p>
      <w:pPr>
        <w:keepNext/>
        <w:spacing w:after="100" w:before="220"/>
      </w:pPr>
      <w:r>
        <w:rPr>
          <w:rFonts w:ascii="Cambria" w:cs="Cambria" w:eastAsia="Cambria" w:hAnsi="Cambria"/>
          <w:b/>
          <w:bCs/>
          <w:color w:val="AD4426"/>
          <w:sz w:val="25"/>
          <w:szCs w:val="25"/>
        </w:rPr>
        <w:t xml:space="preserve">5. Erwartungshorizont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1500"/>
        <w:gridCol w:w="4638"/>
      </w:tblGrid>
      <w:tr>
        <w:trPr>
          <w:tblHeader/>
        </w:trPr>
        <w:tc>
          <w:tcPr>
            <w:tcW w:type="dxa" w:w="6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Nr.</w:t>
            </w:r>
          </w:p>
        </w:tc>
        <w:tc>
          <w:tcPr>
            <w:tcW w:type="dxa" w:w="29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Anliegen</w:t>
            </w:r>
          </w:p>
        </w:tc>
        <w:tc>
          <w:tcPr>
            <w:tcW w:type="dxa" w:w="15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Entscheidung</w:t>
            </w:r>
          </w:p>
        </w:tc>
        <w:tc>
          <w:tcPr>
            <w:tcW w:type="dxa" w:w="4638"/>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weil …</w:t>
            </w:r>
          </w:p>
        </w:tc>
      </w:tr>
      <w:tr>
        <w:trPr>
          <w:cantSplit/>
        </w:trPr>
        <w:tc>
          <w:tcPr>
            <w:tcW w:type="dxa" w:w="6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1</w:t>
            </w:r>
          </w:p>
        </w:tc>
        <w:tc>
          <w:tcPr>
            <w:tcW w:type="dxa" w:w="29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Lykon (Thete) will Archont werden.</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 abgelehnt</w:t>
            </w:r>
          </w:p>
        </w:tc>
        <w:tc>
          <w:tcPr>
            <w:tcW w:type="dxa" w:w="46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Nur die 1. Klasse (ab 500 Scheffel) kann Archont werden. Theten dürfen nur wählen, nicht gewählt werden.</w:t>
            </w:r>
          </w:p>
        </w:tc>
      </w:tr>
      <w:tr>
        <w:trPr>
          <w:cantSplit/>
        </w:trPr>
        <w:tc>
          <w:tcPr>
            <w:tcW w:type="dxa" w:w="6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2</w:t>
            </w:r>
          </w:p>
        </w:tc>
        <w:tc>
          <w:tcPr>
            <w:tcW w:type="dxa" w:w="29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Demeas will gegen einen Beamten klagen.</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 genehmigt</w:t>
            </w:r>
          </w:p>
        </w:tc>
        <w:tc>
          <w:tcPr>
            <w:tcW w:type="dxa" w:w="46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Jeder Bürger darf klagen – vor der Volksversammlung oder dem Geschworenengericht. Die Volksversammlung entscheidet über Klagen gegen Beamte.</w:t>
            </w:r>
          </w:p>
        </w:tc>
      </w:tr>
      <w:tr>
        <w:trPr>
          <w:cantSplit/>
        </w:trPr>
        <w:tc>
          <w:tcPr>
            <w:tcW w:type="dxa" w:w="6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3</w:t>
            </w:r>
          </w:p>
        </w:tc>
        <w:tc>
          <w:tcPr>
            <w:tcW w:type="dxa" w:w="29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Kleitos (Ritter) will in den Rat der 400.</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 genehmigt</w:t>
            </w:r>
          </w:p>
        </w:tc>
        <w:tc>
          <w:tcPr>
            <w:tcW w:type="dxa" w:w="46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Die Klassen 1–3 können in den Rat der 400 gewählt werden. Gewählt wird er von den Phylen.</w:t>
            </w:r>
          </w:p>
        </w:tc>
      </w:tr>
      <w:tr>
        <w:trPr>
          <w:cantSplit/>
        </w:trPr>
        <w:tc>
          <w:tcPr>
            <w:tcW w:type="dxa" w:w="6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4</w:t>
            </w:r>
          </w:p>
        </w:tc>
        <w:tc>
          <w:tcPr>
            <w:tcW w:type="dxa" w:w="29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Megakles (Adliger, 150 Scheffel) will Archont werden.</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 abgelehnt</w:t>
            </w:r>
          </w:p>
        </w:tc>
        <w:tc>
          <w:tcPr>
            <w:tcW w:type="dxa" w:w="46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Seit Solon zählt der Besitz, nicht die Herkunft. Mit 150 Scheffeln gehört er zu den Theten.</w:t>
            </w:r>
          </w:p>
        </w:tc>
      </w:tr>
      <w:tr>
        <w:trPr>
          <w:cantSplit/>
        </w:trPr>
        <w:tc>
          <w:tcPr>
            <w:tcW w:type="dxa" w:w="6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5</w:t>
            </w:r>
          </w:p>
        </w:tc>
        <w:tc>
          <w:tcPr>
            <w:tcW w:type="dxa" w:w="29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Philon (ehem. Archont) will in den Areopag.</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 genehmigt</w:t>
            </w:r>
          </w:p>
        </w:tc>
        <w:tc>
          <w:tcPr>
            <w:tcW w:type="dxa" w:w="46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Ehemalige Archonten werden Mitglied im Areopag. Er beaufsichtigt Verfassung und Beamte.</w:t>
            </w:r>
          </w:p>
        </w:tc>
      </w:tr>
      <w:tr>
        <w:trPr>
          <w:cantSplit/>
        </w:trPr>
        <w:tc>
          <w:tcPr>
            <w:tcW w:type="dxa" w:w="6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6</w:t>
            </w:r>
          </w:p>
        </w:tc>
        <w:tc>
          <w:tcPr>
            <w:tcW w:type="dxa" w:w="29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Thessale (Frau eines Ritters) will in der Volksversammlung abstimmen.</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 abgelehnt</w:t>
            </w:r>
          </w:p>
        </w:tc>
        <w:tc>
          <w:tcPr>
            <w:tcW w:type="dxa" w:w="46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Zur Volksversammlung gehören nur männliche Bürger über 20. Frauen haben keine politischen Rechte.</w:t>
            </w:r>
          </w:p>
        </w:tc>
      </w:tr>
      <w:tr>
        <w:trPr>
          <w:cantSplit/>
        </w:trPr>
        <w:tc>
          <w:tcPr>
            <w:tcW w:type="dxa" w:w="6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7</w:t>
            </w:r>
          </w:p>
        </w:tc>
        <w:tc>
          <w:tcPr>
            <w:tcW w:type="dxa" w:w="29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Hipponikos (reicher Händler, nicht adlig) will Archont werden.</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 genehmigt</w:t>
            </w:r>
          </w:p>
        </w:tc>
        <w:tc>
          <w:tcPr>
            <w:tcW w:type="dxa" w:w="46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Sein Einkommen entspricht über 500 Scheffeln, also gehört er zur 1. Klasse. Die Herkunft zählt nicht mehr.</w:t>
            </w:r>
          </w:p>
        </w:tc>
      </w:tr>
      <w:tr>
        <w:trPr>
          <w:cantSplit/>
        </w:trPr>
        <w:tc>
          <w:tcPr>
            <w:tcW w:type="dxa" w:w="6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8</w:t>
            </w:r>
          </w:p>
        </w:tc>
        <w:tc>
          <w:tcPr>
            <w:tcW w:type="dxa" w:w="29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Nikon (Thete) will über einen Krieg mitentscheiden.</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 genehmigt</w:t>
            </w:r>
          </w:p>
        </w:tc>
        <w:tc>
          <w:tcPr>
            <w:tcW w:type="dxa" w:w="46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Alle Bürger über 20 stimmen in der Volksversammlung über Krieg und Frieden ab. Der Rat der 400 bereitet vor, die Archonten führen aus.</w:t>
            </w:r>
          </w:p>
        </w:tc>
      </w:tr>
      <w:tr>
        <w:trPr>
          <w:cantSplit/>
        </w:trPr>
        <w:tc>
          <w:tcPr>
            <w:tcW w:type="dxa" w:w="6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9</w:t>
            </w:r>
          </w:p>
        </w:tc>
        <w:tc>
          <w:tcPr>
            <w:tcW w:type="dxa" w:w="29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Kallippos (Hoplit, jetzt 520 Scheffel) will in die 1. Klasse.</w:t>
            </w:r>
          </w:p>
        </w:tc>
        <w:tc>
          <w:tcPr>
            <w:tcW w:type="dxa" w:w="15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 genehmigt</w:t>
            </w:r>
          </w:p>
        </w:tc>
        <w:tc>
          <w:tcPr>
            <w:tcW w:type="dxa" w:w="46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Der Besitz entscheidet: Mit über 500 Scheffeln steigt er in die 1. Klasse auf und kann jetzt Archont werden.</w:t>
            </w:r>
          </w:p>
        </w:tc>
      </w:tr>
    </w:tbl>
    <w:p>
      <w:pPr>
        <w:spacing w:after="80" w:before="100"/>
      </w:pPr>
      <w:r>
        <w:rPr>
          <w:b/>
          <w:bCs/>
          <w:sz w:val="18"/>
          <w:szCs w:val="18"/>
        </w:rPr>
        <w:t xml:space="preserve">Sachurteil (Beispiel):</w:t>
      </w:r>
      <w:r>
        <w:rPr>
          <w:sz w:val="18"/>
          <w:szCs w:val="18"/>
        </w:rPr>
        <w:t xml:space="preserve"> Eher timokratisch, denn die wichtigen Ämter blieben den Reichen vorbehalten (Anliegen 1, 4). Zwar stimmten alle Bürger in der Volksversammlung ab und durften klagen (Anliegen 2, 8), regieren konnten aber nur die Wohlhabenden. Auch „eher demokratisch“ ist mit Belegen vertretbar.</w:t>
      </w:r>
    </w:p>
    <w:p>
      <w:pPr>
        <w:spacing w:after="80" w:before="0"/>
      </w:pPr>
      <w:r>
        <w:rPr>
          <w:b/>
          <w:bCs/>
          <w:sz w:val="18"/>
          <w:szCs w:val="18"/>
        </w:rPr>
        <w:t xml:space="preserve">Werturteil (Beispiele):</w:t>
      </w:r>
      <w:r>
        <w:rPr>
          <w:sz w:val="18"/>
          <w:szCs w:val="18"/>
        </w:rPr>
        <w:t xml:space="preserve"> Maßstab Gleichheit: nicht gerecht, weil arme Bürger nie regieren konnten. Maßstab Leistung: teilweise gerecht, weil die Reichen mehr Lasten trugen und Aufstieg möglich war. Schutz der Schwachen: teilweise (Schuldenerlass, Klagerecht, aber keine Ämter). Gleiche Regeln: teilweise (gleiche Regel für alle Bürger, Frauen ausgeschlossen).</w:t>
      </w:r>
    </w:p>
    <w:sectPr>
      <w:headerReference w:type="default" r:id="rId7"/>
      <w:pgSz w:w="11906" w:h="16838" w:orient="portrait"/>
      <w:pgMar w:top="10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8C77"/>
        <w:sz w:val="16"/>
        <w:szCs w:val="16"/>
      </w:rPr>
      <w:t xml:space="preserve">Geschichte · Klasse 11 · Handreichung „Bürgeramt Athen“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3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2026-10-06T16:10:38.159Z</dcterms:created>
  <dcterms:modified xsi:type="dcterms:W3CDTF">2026-10-06T16:10:38.159Z</dcterms:modified>
</cp:coreProperties>
</file>

<file path=docProps/custom.xml><?xml version="1.0" encoding="utf-8"?>
<Properties xmlns="http://schemas.openxmlformats.org/officeDocument/2006/custom-properties" xmlns:vt="http://schemas.openxmlformats.org/officeDocument/2006/docPropsVTypes"/>
</file>