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b/>
          <w:bCs/>
          <w:color w:val="AD4426"/>
          <w:sz w:val="16"/>
          <w:szCs w:val="16"/>
        </w:rPr>
        <w:t xml:space="preserve">HANDREICHUNG · GESCHICHTE KLASSE 11 · DOPPELSTUNDE (90 MIN.)</w:t>
      </w:r>
    </w:p>
    <w:p>
      <w:pPr>
        <w:spacing w:after="140"/>
      </w:pPr>
      <w:r>
        <w:rPr>
          <w:rFonts w:ascii="Cambria" w:cs="Cambria" w:eastAsia="Cambria" w:hAnsi="Cambria"/>
          <w:b/>
          <w:bCs/>
          <w:color w:val="2B2318"/>
          <w:sz w:val="34"/>
          <w:szCs w:val="34"/>
        </w:rPr>
        <w:t xml:space="preserve">Von der Polis zur Krise: Drakon und Solon</w:t>
      </w:r>
    </w:p>
    <w:p>
      <w:pPr>
        <w:spacing w:after="80" w:before="0"/>
      </w:pPr>
      <w:r>
        <w:rPr>
          <w:b/>
          <w:bCs/>
          <w:sz w:val="20"/>
          <w:szCs w:val="20"/>
        </w:rPr>
        <w:t xml:space="preserve">Curriculum:</w:t>
      </w:r>
      <w:r>
        <w:rPr>
          <w:sz w:val="20"/>
          <w:szCs w:val="20"/>
        </w:rPr>
        <w:t xml:space="preserve"> E1 Antike, BM 2 „Demokratie am Beispiel der attischen Polis“: Wandel durch Drakon und Solon; Unterscheidung von Sach- und Werturteil; Lesen von Verfassungsschaubildern.</w:t>
      </w:r>
    </w:p>
    <w:p>
      <w:pPr>
        <w:spacing w:after="40" w:before="0"/>
      </w:pPr>
      <w:r>
        <w:rPr>
          <w:b/>
          <w:bCs/>
          <w:sz w:val="20"/>
          <w:szCs w:val="20"/>
        </w:rPr>
        <w:t xml:space="preserve">Lernziele:</w:t>
      </w:r>
      <w:r>
        <w:rPr>
          <w:sz w:val="20"/>
          <w:szCs w:val="20"/>
        </w:rPr>
        <w:t xml:space="preserve"> Die Schülerinnen und Schüler …</w:t>
      </w:r>
    </w:p>
    <w:p>
      <w:pPr>
        <w:spacing w:after="50" w:before="0"/>
      </w:pPr>
      <w:r>
        <w:rPr>
          <w:sz w:val="20"/>
          <w:szCs w:val="20"/>
        </w:rPr>
        <w:t xml:space="preserve">–  wiederholen die Faktoren der Polisbildung und unterscheiden Beschreibung, Sachurteil und Werturteil,</w:t>
      </w:r>
    </w:p>
    <w:p>
      <w:pPr>
        <w:spacing w:after="50" w:before="0"/>
      </w:pPr>
      <w:r>
        <w:rPr>
          <w:sz w:val="20"/>
          <w:szCs w:val="20"/>
        </w:rPr>
        <w:t xml:space="preserve">–  erklären die Ursachen der Krise Athens um 600 v. Chr.,</w:t>
      </w:r>
    </w:p>
    <w:p>
      <w:pPr>
        <w:spacing w:after="50" w:before="0"/>
      </w:pPr>
      <w:r>
        <w:rPr>
          <w:sz w:val="20"/>
          <w:szCs w:val="20"/>
        </w:rPr>
        <w:t xml:space="preserve">–  prüfen anhand des Lehrbuchs, welche Probleme Drakon und Solon lösten,</w:t>
      </w:r>
    </w:p>
    <w:p>
      <w:pPr>
        <w:spacing w:after="50" w:before="0"/>
      </w:pPr>
      <w:r>
        <w:rPr>
          <w:sz w:val="20"/>
          <w:szCs w:val="20"/>
        </w:rPr>
        <w:t xml:space="preserve">–  beurteilen die Reformen schriftlich in einem Sach- und einem Werturteil.</w:t>
      </w:r>
    </w:p>
    <w:p>
      <w:pPr>
        <w:keepNext/>
        <w:spacing w:after="100" w:before="220"/>
      </w:pPr>
      <w:r>
        <w:rPr>
          <w:rFonts w:ascii="Cambria" w:cs="Cambria" w:eastAsia="Cambria" w:hAnsi="Cambria"/>
          <w:b/>
          <w:bCs/>
          <w:color w:val="AD4426"/>
          <w:sz w:val="25"/>
          <w:szCs w:val="25"/>
        </w:rPr>
        <w:t xml:space="preserve">1. Was du ausdrucken musst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300"/>
        <w:gridCol w:w="4138"/>
      </w:tblGrid>
      <w:tr>
        <w:trPr>
          <w:tblHeader/>
        </w:trPr>
        <w:tc>
          <w:tcPr>
            <w:tcW w:type="dxa" w:w="32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2B23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Material</w:t>
            </w:r>
          </w:p>
        </w:tc>
        <w:tc>
          <w:tcPr>
            <w:tcW w:type="dxa" w:w="23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2B23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Menge</w:t>
            </w:r>
          </w:p>
        </w:tc>
        <w:tc>
          <w:tcPr>
            <w:tcW w:type="dxa" w:w="4138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2B23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Hinweis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Lückentext „Wie entstanden die Poleis?“</w:t>
            </w:r>
          </w:p>
          <w:p>
            <w:pPr>
              <w:spacing w:after="30" w:before="0"/>
            </w:pPr>
            <w:r>
              <w:rPr>
                <w:sz w:val="18"/>
                <w:szCs w:val="18"/>
              </w:rPr>
              <w:t xml:space="preserve">Lueckentext_Polisbildung_A5.docx</w:t>
            </w:r>
          </w:p>
        </w:tc>
        <w:tc>
          <w:tcPr>
            <w:tcW w:type="dxa" w:w="23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halb so viele Blätter wie Schüler</w:t>
            </w:r>
          </w:p>
        </w:tc>
        <w:tc>
          <w:tcPr>
            <w:tcW w:type="dxa" w:w="4138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A4 quer, 2 Exemplare pro Blatt. In der Mitte an der gestrichelten Linie schneiden.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Figurenkarten</w:t>
            </w:r>
          </w:p>
          <w:p>
            <w:pPr>
              <w:spacing w:after="30" w:before="0"/>
            </w:pPr>
            <w:r>
              <w:rPr>
                <w:sz w:val="18"/>
                <w:szCs w:val="18"/>
              </w:rPr>
              <w:t xml:space="preserve">Figurenkarten_Tafel.docx</w:t>
            </w:r>
          </w:p>
        </w:tc>
        <w:tc>
          <w:tcPr>
            <w:tcW w:type="dxa" w:w="23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1 × (4 Seiten)</w:t>
            </w:r>
          </w:p>
        </w:tc>
        <w:tc>
          <w:tcPr>
            <w:tcW w:type="dxa" w:w="4138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Jede Seite an der gestrichelten Linie halbieren. 7 Karten, dazu Magnete.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30" w:before="0"/>
            </w:pPr>
            <w:r>
              <w:rPr>
                <w:b/>
                <w:bCs/>
                <w:sz w:val="18"/>
                <w:szCs w:val="18"/>
              </w:rPr>
              <w:t xml:space="preserve">Lösung zum Lückentext</w:t>
            </w:r>
          </w:p>
          <w:p>
            <w:pPr>
              <w:spacing w:after="30" w:before="0"/>
            </w:pPr>
            <w:r>
              <w:rPr>
                <w:sz w:val="18"/>
                <w:szCs w:val="18"/>
              </w:rPr>
              <w:t xml:space="preserve">Lueckentext_Polisbildung_Loesung.docx</w:t>
            </w:r>
          </w:p>
        </w:tc>
        <w:tc>
          <w:tcPr>
            <w:tcW w:type="dxa" w:w="23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optional 1 × für dich</w:t>
            </w:r>
          </w:p>
        </w:tc>
        <w:tc>
          <w:tcPr>
            <w:tcW w:type="dxa" w:w="4138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Die Lösung steht auch auf den Folien 21–22.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Diese Handreichung</w:t>
            </w:r>
          </w:p>
        </w:tc>
        <w:tc>
          <w:tcPr>
            <w:tcW w:type="dxa" w:w="23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optional 1 ×</w:t>
            </w:r>
          </w:p>
        </w:tc>
        <w:tc>
          <w:tcPr>
            <w:tcW w:type="dxa" w:w="4138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–</w:t>
            </w:r>
          </w:p>
        </w:tc>
      </w:tr>
    </w:tbl>
    <w:p>
      <w:pPr>
        <w:spacing w:after="80" w:before="100"/>
      </w:pPr>
      <w:r>
        <w:rPr>
          <w:b/>
          <w:bCs/>
          <w:sz w:val="19"/>
          <w:szCs w:val="19"/>
        </w:rPr>
        <w:t xml:space="preserve">Nicht drucken:</w:t>
      </w:r>
      <w:r>
        <w:rPr>
          <w:sz w:val="19"/>
          <w:szCs w:val="19"/>
        </w:rPr>
        <w:t xml:space="preserve"> Folien, Problemtabelle und Beurteilung. Die Schüler arbeiten im Heft, alle Aufträge stehen auf den Folien.</w:t>
      </w:r>
    </w:p>
    <w:p>
      <w:pPr>
        <w:keepNext/>
        <w:spacing w:after="100" w:before="220"/>
      </w:pPr>
      <w:r>
        <w:rPr>
          <w:rFonts w:ascii="Cambria" w:cs="Cambria" w:eastAsia="Cambria" w:hAnsi="Cambria"/>
          <w:b/>
          <w:bCs/>
          <w:color w:val="AD4426"/>
          <w:sz w:val="25"/>
          <w:szCs w:val="25"/>
        </w:rPr>
        <w:t xml:space="preserve">2. Checkliste vor der Stunde</w:t>
      </w:r>
    </w:p>
    <w:p>
      <w:pPr>
        <w:spacing w:after="50" w:before="0"/>
      </w:pPr>
      <w:r>
        <w:rPr>
          <w:sz w:val="20"/>
          <w:szCs w:val="20"/>
        </w:rPr>
        <w:t xml:space="preserve">☐  Folien_Doppelstunde_Drakon_Solon.pptx auf den Rechner im Klassenraum kopieren.</w:t>
      </w:r>
    </w:p>
    <w:p>
      <w:pPr>
        <w:spacing w:after="50" w:before="0"/>
      </w:pPr>
      <w:r>
        <w:rPr>
          <w:sz w:val="20"/>
          <w:szCs w:val="20"/>
        </w:rPr>
        <w:t xml:space="preserve">☐  Audio (Folie 25) und Video (Folie 32) einmal testen, Lautsprecher prüfen.</w:t>
      </w:r>
    </w:p>
    <w:p>
      <w:pPr>
        <w:spacing w:after="50" w:before="0"/>
      </w:pPr>
      <w:r>
        <w:rPr>
          <w:sz w:val="20"/>
          <w:szCs w:val="20"/>
        </w:rPr>
        <w:t xml:space="preserve">☐  Lückentext kopieren und schneiden, Figurenkarten ausdrucken und halbieren.</w:t>
      </w:r>
    </w:p>
    <w:p>
      <w:pPr>
        <w:spacing w:after="50" w:before="0"/>
      </w:pPr>
      <w:r>
        <w:rPr>
          <w:sz w:val="20"/>
          <w:szCs w:val="20"/>
        </w:rPr>
        <w:t xml:space="preserve">☐  Magnete bereitlegen; an der Tafel Platz für die Gewinner-Verlierer-Linie lassen.</w:t>
      </w:r>
    </w:p>
    <w:p>
      <w:pPr>
        <w:spacing w:after="50" w:before="0"/>
      </w:pPr>
      <w:r>
        <w:rPr>
          <w:sz w:val="20"/>
          <w:szCs w:val="20"/>
        </w:rPr>
        <w:t xml:space="preserve">☐  Die Schüler brauchen das Lehrbuch (S. 20–22) und ihr Heft.</w:t>
      </w:r>
    </w:p>
    <w:p>
      <w:pPr>
        <w:keepNext/>
        <w:spacing w:after="100" w:before="220"/>
      </w:pPr>
      <w:r>
        <w:rPr>
          <w:rFonts w:ascii="Cambria" w:cs="Cambria" w:eastAsia="Cambria" w:hAnsi="Cambria"/>
          <w:b/>
          <w:bCs/>
          <w:color w:val="AD4426"/>
          <w:sz w:val="25"/>
          <w:szCs w:val="25"/>
        </w:rPr>
        <w:t xml:space="preserve">3. Verlauf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1650"/>
        <w:gridCol w:w="4188"/>
        <w:gridCol w:w="1450"/>
        <w:gridCol w:w="1500"/>
      </w:tblGrid>
      <w:tr>
        <w:trPr>
          <w:tblHeader/>
        </w:trPr>
        <w:tc>
          <w:tcPr>
            <w:tcW w:type="dxa" w:w="85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2B23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Zeit</w:t>
            </w:r>
          </w:p>
        </w:tc>
        <w:tc>
          <w:tcPr>
            <w:tcW w:type="dxa" w:w="165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2B23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4188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2B23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Ablauf</w:t>
            </w:r>
          </w:p>
        </w:tc>
        <w:tc>
          <w:tcPr>
            <w:tcW w:type="dxa" w:w="145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2B23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Sozialform</w:t>
            </w:r>
          </w:p>
        </w:tc>
        <w:tc>
          <w:tcPr>
            <w:tcW w:type="dxa" w:w="15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2B23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Folien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F4ECD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0–7</w:t>
            </w:r>
          </w:p>
        </w:tc>
        <w:tc>
          <w:tcPr>
            <w:tcW w:type="dxa" w:w="165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Urteilsampel</w:t>
            </w:r>
          </w:p>
        </w:tc>
        <w:tc>
          <w:tcPr>
            <w:tcW w:type="dxa" w:w="4188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 Aussagen zur Polisbildung. Alle zeigen gleichzeitig 1, 2 oder 3 Finger (Beschreibung, Sachurteil, Werturteil). Nach jeder Aussage die Lösungsfolie zeigen; nur bei Uneinigkeit kurz begründen lassen.</w:t>
            </w:r>
          </w:p>
        </w:tc>
        <w:tc>
          <w:tcPr>
            <w:tcW w:type="dxa" w:w="145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Plenum</w:t>
            </w:r>
          </w:p>
        </w:tc>
        <w:tc>
          <w:tcPr>
            <w:tcW w:type="dxa" w:w="15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2–18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F4ECD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7–18</w:t>
            </w:r>
          </w:p>
        </w:tc>
        <w:tc>
          <w:tcPr>
            <w:tcW w:type="dxa" w:w="165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Lückentext</w:t>
            </w:r>
          </w:p>
        </w:tc>
        <w:tc>
          <w:tcPr>
            <w:tcW w:type="dxa" w:w="4188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Blatt austeilen. Einzelarbeit, dann Vergleich mit dem Nachbarn. Lösung zeigen, Paare korrigieren selbst. Zwei Schüler nennen ihre Vermutung zur Schlussfrage (Schulden); an der Tafel festhalten.</w:t>
            </w:r>
          </w:p>
        </w:tc>
        <w:tc>
          <w:tcPr>
            <w:tcW w:type="dxa" w:w="145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EA → PA</w:t>
            </w:r>
          </w:p>
        </w:tc>
        <w:tc>
          <w:tcPr>
            <w:tcW w:type="dxa" w:w="15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19–22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F4ECD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18–25</w:t>
            </w:r>
          </w:p>
        </w:tc>
        <w:tc>
          <w:tcPr>
            <w:tcW w:type="dxa" w:w="165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Sachurteil</w:t>
            </w:r>
          </w:p>
        </w:tc>
        <w:tc>
          <w:tcPr>
            <w:tcW w:type="dxa" w:w="4188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„Welcher Faktor war für die Entstehung der Poleis am wichtigsten?“ 2–3 Sätze ins Heft, Partnercheck, Beispiel zeigen.</w:t>
            </w:r>
          </w:p>
        </w:tc>
        <w:tc>
          <w:tcPr>
            <w:tcW w:type="dxa" w:w="145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EA → PA</w:t>
            </w:r>
          </w:p>
        </w:tc>
        <w:tc>
          <w:tcPr>
            <w:tcW w:type="dxa" w:w="15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23–24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F4ECD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25–30</w:t>
            </w:r>
          </w:p>
        </w:tc>
        <w:tc>
          <w:tcPr>
            <w:tcW w:type="dxa" w:w="165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Hörprobe</w:t>
            </w:r>
          </w:p>
        </w:tc>
        <w:tc>
          <w:tcPr>
            <w:tcW w:type="dxa" w:w="4188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Hörauftrag vorher geben, Audio abspielen (45 Sek.). Lösung zeigen. Dann übertragen die Schüler die Problemtabelle ins Heft.</w:t>
            </w:r>
          </w:p>
        </w:tc>
        <w:tc>
          <w:tcPr>
            <w:tcW w:type="dxa" w:w="145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Plenum, EA</w:t>
            </w:r>
          </w:p>
        </w:tc>
        <w:tc>
          <w:tcPr>
            <w:tcW w:type="dxa" w:w="15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25–27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F4ECD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30–38</w:t>
            </w:r>
          </w:p>
        </w:tc>
        <w:tc>
          <w:tcPr>
            <w:tcW w:type="dxa" w:w="165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Drakon</w:t>
            </w:r>
          </w:p>
        </w:tc>
        <w:tc>
          <w:tcPr>
            <w:tcW w:type="dxa" w:w="4188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LB S. 20 lesen, Spalte „Drakon“ ausfüllen (✔ / ~ / ✘ und Beleg). Lösung zeigen.</w:t>
            </w:r>
          </w:p>
        </w:tc>
        <w:tc>
          <w:tcPr>
            <w:tcW w:type="dxa" w:w="145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</w:t>
            </w:r>
          </w:p>
        </w:tc>
        <w:tc>
          <w:tcPr>
            <w:tcW w:type="dxa" w:w="15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28–29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F4ECD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38–55</w:t>
            </w:r>
          </w:p>
        </w:tc>
        <w:tc>
          <w:tcPr>
            <w:tcW w:type="dxa" w:w="165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Solon im Lesetandem</w:t>
            </w:r>
          </w:p>
        </w:tc>
        <w:tc>
          <w:tcPr>
            <w:tcW w:type="dxa" w:w="4188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 liest die Sozialreform, B die Verfassungsreform. Gegenseitig erklären, Spalte „Solon“ ausfüllen. Lösung zeigen und nur strittige Felder besprechen.</w:t>
            </w:r>
          </w:p>
        </w:tc>
        <w:tc>
          <w:tcPr>
            <w:tcW w:type="dxa" w:w="145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PA, Plenum</w:t>
            </w:r>
          </w:p>
        </w:tc>
        <w:tc>
          <w:tcPr>
            <w:tcW w:type="dxa" w:w="15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30–31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F4ECD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55–60</w:t>
            </w:r>
          </w:p>
        </w:tc>
        <w:tc>
          <w:tcPr>
            <w:tcW w:type="dxa" w:w="165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Erklärvideo</w:t>
            </w:r>
          </w:p>
        </w:tc>
        <w:tc>
          <w:tcPr>
            <w:tcW w:type="dxa" w:w="4188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Video (1 Min.), Sehauftrag zur Zeile „Politische Macht“. Lösung „Neu / Aber“ zeigen.</w:t>
            </w:r>
          </w:p>
        </w:tc>
        <w:tc>
          <w:tcPr>
            <w:tcW w:type="dxa" w:w="145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Plenum</w:t>
            </w:r>
          </w:p>
        </w:tc>
        <w:tc>
          <w:tcPr>
            <w:tcW w:type="dxa" w:w="15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32–33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F4ECD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60–78</w:t>
            </w:r>
          </w:p>
        </w:tc>
        <w:tc>
          <w:tcPr>
            <w:tcW w:type="dxa" w:w="165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Schriftliche Beurteilung</w:t>
            </w:r>
          </w:p>
        </w:tc>
        <w:tc>
          <w:tcPr>
            <w:tcW w:type="dxa" w:w="4188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„Beurteile, inwieweit es Drakon und Solon gelang, die Krise Athens zu lösen.“ Sach- und Werturteil ins Heft (12 Min.), Partnercheck (5 Min.), Beispiel zeigen.</w:t>
            </w:r>
          </w:p>
        </w:tc>
        <w:tc>
          <w:tcPr>
            <w:tcW w:type="dxa" w:w="145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EA → PA</w:t>
            </w:r>
          </w:p>
        </w:tc>
        <w:tc>
          <w:tcPr>
            <w:tcW w:type="dxa" w:w="15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34–35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F4ECD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78–87</w:t>
            </w:r>
          </w:p>
        </w:tc>
        <w:tc>
          <w:tcPr>
            <w:tcW w:type="dxa" w:w="165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Gewinner-Verlierer-Linie</w:t>
            </w:r>
          </w:p>
        </w:tc>
        <w:tc>
          <w:tcPr>
            <w:tcW w:type="dxa" w:w="4188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Schüler hängen die Figurenkarten an die Linie an der Tafel und begründen in einem Satz. Zum Schluss die Karte „Frau eines Bürgers“. Mögliche Lösung zeigen.</w:t>
            </w:r>
          </w:p>
        </w:tc>
        <w:tc>
          <w:tcPr>
            <w:tcW w:type="dxa" w:w="145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Plenum</w:t>
            </w:r>
          </w:p>
        </w:tc>
        <w:tc>
          <w:tcPr>
            <w:tcW w:type="dxa" w:w="15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36–37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F4ECD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87–90</w:t>
            </w:r>
          </w:p>
        </w:tc>
        <w:tc>
          <w:tcPr>
            <w:tcW w:type="dxa" w:w="165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Ausblick</w:t>
            </w:r>
          </w:p>
        </w:tc>
        <w:tc>
          <w:tcPr>
            <w:tcW w:type="dxa" w:w="4188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Zitat LB S. 22: Viele waren enttäuscht. „Wer war enttäuscht, und was könnte jetzt passieren?“ Das leitet zu Peisistratos über.</w:t>
            </w:r>
          </w:p>
        </w:tc>
        <w:tc>
          <w:tcPr>
            <w:tcW w:type="dxa" w:w="145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Plenum</w:t>
            </w:r>
          </w:p>
        </w:tc>
        <w:tc>
          <w:tcPr>
            <w:tcW w:type="dxa" w:w="15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</w:tr>
    </w:tbl>
    <w:p>
      <w:pPr>
        <w:keepNext/>
        <w:spacing w:after="100" w:before="220"/>
      </w:pPr>
      <w:r>
        <w:rPr>
          <w:rFonts w:ascii="Cambria" w:cs="Cambria" w:eastAsia="Cambria" w:hAnsi="Cambria"/>
          <w:b/>
          <w:bCs/>
          <w:color w:val="AD4426"/>
          <w:sz w:val="25"/>
          <w:szCs w:val="25"/>
        </w:rPr>
        <w:t xml:space="preserve">4. Hinweise zu einzelnen Phasen</w:t>
      </w:r>
    </w:p>
    <w:p>
      <w:pPr>
        <w:spacing w:after="80" w:before="0"/>
      </w:pPr>
      <w:r>
        <w:rPr>
          <w:b/>
          <w:bCs/>
          <w:sz w:val="19"/>
          <w:szCs w:val="19"/>
        </w:rPr>
        <w:t xml:space="preserve">Urteilsampel.</w:t>
      </w:r>
      <w:r>
        <w:rPr>
          <w:sz w:val="19"/>
          <w:szCs w:val="19"/>
        </w:rPr>
        <w:t xml:space="preserve"> Erst überlegen lassen, dann auf ein Zeichen gleichzeitig zeigen. So kann niemand abschauen. Aussage 3 (pauschal) und Aussage 6 (mit Maßstab) im Vergleich zeigen, was ein gutes Werturteil ausmacht.</w:t>
      </w:r>
    </w:p>
    <w:p>
      <w:pPr>
        <w:spacing w:after="80" w:before="0"/>
      </w:pPr>
      <w:r>
        <w:rPr>
          <w:b/>
          <w:bCs/>
          <w:sz w:val="19"/>
          <w:szCs w:val="19"/>
        </w:rPr>
        <w:t xml:space="preserve">Lückentext.</w:t>
      </w:r>
      <w:r>
        <w:rPr>
          <w:sz w:val="19"/>
          <w:szCs w:val="19"/>
        </w:rPr>
        <w:t xml:space="preserve"> Jedes Wort im Wortspeicher passt genau einmal. Neu sind nur Chora (Umland) und Synoikismos (Zusammenschluss Attikas, LB S. 20); beide werden im Text erklärt. Genos, Phyle, Aristokratie, Archonten und Areopag kennt die Klasse von LB S. 17.</w:t>
      </w:r>
    </w:p>
    <w:p>
      <w:pPr>
        <w:spacing w:after="80" w:before="0"/>
      </w:pPr>
      <w:r>
        <w:rPr>
          <w:b/>
          <w:bCs/>
          <w:sz w:val="19"/>
          <w:szCs w:val="19"/>
        </w:rPr>
        <w:t xml:space="preserve">Hörprobe.</w:t>
      </w:r>
      <w:r>
        <w:rPr>
          <w:sz w:val="19"/>
          <w:szCs w:val="19"/>
        </w:rPr>
        <w:t xml:space="preserve"> Die Lösungsfolie 26 passt zum aktuellen Sprechertext. Wird die Hörprobe überarbeitet, muss sie angepasst werden.</w:t>
      </w:r>
    </w:p>
    <w:p>
      <w:pPr>
        <w:spacing w:after="80" w:before="0"/>
      </w:pPr>
      <w:r>
        <w:rPr>
          <w:b/>
          <w:bCs/>
          <w:sz w:val="19"/>
          <w:szCs w:val="19"/>
        </w:rPr>
        <w:t xml:space="preserve">Lesetandem.</w:t>
      </w:r>
      <w:r>
        <w:rPr>
          <w:sz w:val="19"/>
          <w:szCs w:val="19"/>
        </w:rPr>
        <w:t xml:space="preserve"> Wichtig ist, dass jeder nur seinen Abschnitt liest: Der Partner braucht die Erklärung, um die Spalte „Solon“ ausfüllen zu können. A findet Schuldenerlass, Verbot der Schuldknechtschaft, Rückkauf der Versklavten und keine Neuverteilung des Landes. B findet die vier Vermögensklassen, Archonten nur aus der 1. Klasse, Theten nur mit aktivem Wahlrecht, Volksversammlung, Rat der 400, Klagerecht und Areopag.</w:t>
      </w:r>
    </w:p>
    <w:p>
      <w:pPr>
        <w:spacing w:after="80" w:before="0"/>
      </w:pPr>
      <w:r>
        <w:rPr>
          <w:b/>
          <w:bCs/>
          <w:sz w:val="19"/>
          <w:szCs w:val="19"/>
        </w:rPr>
        <w:t xml:space="preserve">Beurteilung.</w:t>
      </w:r>
      <w:r>
        <w:rPr>
          <w:sz w:val="19"/>
          <w:szCs w:val="19"/>
        </w:rPr>
        <w:t xml:space="preserve"> „Beurteile, inwieweit …“ ist ein Operator aus dem Abitur. Beim Werturteil darauf achten, dass der Maßstab genannt wird (z. B. Gleichheit). Abweichende, gut belegte Gewichtungen sind richtig.</w:t>
      </w:r>
    </w:p>
    <w:p>
      <w:pPr>
        <w:spacing w:after="80" w:before="0"/>
      </w:pPr>
      <w:r>
        <w:rPr>
          <w:b/>
          <w:bCs/>
          <w:sz w:val="19"/>
          <w:szCs w:val="19"/>
        </w:rPr>
        <w:t xml:space="preserve">Gewinner-Verlierer-Linie.</w:t>
      </w:r>
      <w:r>
        <w:rPr>
          <w:sz w:val="19"/>
          <w:szCs w:val="19"/>
        </w:rPr>
        <w:t xml:space="preserve"> Besonders in der Mitte (Thete, Kleinbauer, Großgrundbesitzer) sind verschiedene Positionen vertretbar. Entscheidend ist die Begründung. Die Figuren links auf der Linie liefern die Antwort auf die Frage im Ausblick.</w:t>
      </w:r>
    </w:p>
    <w:p>
      <w:pPr>
        <w:keepNext/>
        <w:spacing w:after="100" w:before="220"/>
      </w:pPr>
      <w:r>
        <w:rPr>
          <w:rFonts w:ascii="Cambria" w:cs="Cambria" w:eastAsia="Cambria" w:hAnsi="Cambria"/>
          <w:b/>
          <w:bCs/>
          <w:color w:val="AD4426"/>
          <w:sz w:val="25"/>
          <w:szCs w:val="25"/>
        </w:rPr>
        <w:t xml:space="preserve">5. Erwartungshorizont: die Problemtabelle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19"/>
        <w:gridCol w:w="3519"/>
      </w:tblGrid>
      <w:tr>
        <w:trPr>
          <w:tblHeader/>
        </w:trPr>
        <w:tc>
          <w:tcPr>
            <w:tcW w:type="dxa" w:w="26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2B23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3519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2B23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Drakon</w:t>
            </w:r>
          </w:p>
        </w:tc>
        <w:tc>
          <w:tcPr>
            <w:tcW w:type="dxa" w:w="3519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2B231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Solon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F4ECD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Schuldknechtschaft</w:t>
            </w:r>
          </w:p>
        </w:tc>
        <w:tc>
          <w:tcPr>
            <w:tcW w:type="dxa" w:w="3519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✘ bleibt bestehen</w:t>
            </w:r>
          </w:p>
        </w:tc>
        <w:tc>
          <w:tcPr>
            <w:tcW w:type="dxa" w:w="3519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✔ Schulden gestrichen, Schuldknechtschaft verboten, Versklavte zurückgekauft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F4ECD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Land in den Händen weniger</w:t>
            </w:r>
          </w:p>
        </w:tc>
        <w:tc>
          <w:tcPr>
            <w:tcW w:type="dxa" w:w="3519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✘ keine Änderung</w:t>
            </w:r>
          </w:p>
        </w:tc>
        <w:tc>
          <w:tcPr>
            <w:tcW w:type="dxa" w:w="3519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✘ keine Neuverteilung des Landes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F4ECD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Recht nur beim Adel, Blutrache</w:t>
            </w:r>
          </w:p>
        </w:tc>
        <w:tc>
          <w:tcPr>
            <w:tcW w:type="dxa" w:w="3519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~ geschriebenes Recht für alle, Blutrache aufgehoben, aber strenge Strafen</w:t>
            </w:r>
          </w:p>
        </w:tc>
        <w:tc>
          <w:tcPr>
            <w:tcW w:type="dxa" w:w="3519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✔ jeder Bürger darf klagen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F4ECD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Politische Macht nur beim Adel</w:t>
            </w:r>
          </w:p>
        </w:tc>
        <w:tc>
          <w:tcPr>
            <w:tcW w:type="dxa" w:w="3519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✘ der Adel behält die Macht</w:t>
            </w:r>
          </w:p>
        </w:tc>
        <w:tc>
          <w:tcPr>
            <w:tcW w:type="dxa" w:w="3519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~ Rechte nach Besitz statt Herkunft, aber Theten nicht wählbar, Archonten nur aus der 1. Klasse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shd w:fill="F4ECDE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Gefahr eines Bürgerkriegs</w:t>
            </w:r>
          </w:p>
        </w:tc>
        <w:tc>
          <w:tcPr>
            <w:tcW w:type="dxa" w:w="3519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✘ die Spannungen bleiben</w:t>
            </w:r>
          </w:p>
        </w:tc>
        <w:tc>
          <w:tcPr>
            <w:tcW w:type="dxa" w:w="3519"/>
            <w:tcBorders>
              <w:top w:val="single" w:color="BFB5A5" w:sz="4"/>
              <w:left w:val="single" w:color="BFB5A5" w:sz="4"/>
              <w:bottom w:val="single" w:color="BFB5A5" w:sz="4"/>
              <w:right w:val="single" w:color="BFB5A5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~ zunächst Beruhigung, bald neue Kämpfe (LB S. 22)</w:t>
            </w:r>
          </w:p>
        </w:tc>
      </w:tr>
    </w:tbl>
    <w:p>
      <w:pPr>
        <w:keepNext/>
        <w:spacing w:after="100" w:before="220"/>
      </w:pPr>
      <w:r>
        <w:rPr>
          <w:rFonts w:ascii="Cambria" w:cs="Cambria" w:eastAsia="Cambria" w:hAnsi="Cambria"/>
          <w:b/>
          <w:bCs/>
          <w:color w:val="AD4426"/>
          <w:sz w:val="25"/>
          <w:szCs w:val="25"/>
        </w:rPr>
        <w:t xml:space="preserve">6. Wenn die Zeit knapp wird</w:t>
      </w:r>
    </w:p>
    <w:p>
      <w:pPr>
        <w:spacing w:after="50" w:before="0"/>
      </w:pPr>
      <w:r>
        <w:rPr>
          <w:sz w:val="20"/>
          <w:szCs w:val="20"/>
        </w:rPr>
        <w:t xml:space="preserve">–  Sachurteil zur Polisbildung (Phase 3) auf einen Satz kürzen.</w:t>
      </w:r>
    </w:p>
    <w:p>
      <w:pPr>
        <w:spacing w:after="50" w:before="0"/>
      </w:pPr>
      <w:r>
        <w:rPr>
          <w:sz w:val="20"/>
          <w:szCs w:val="20"/>
        </w:rPr>
        <w:t xml:space="preserve">–  Werturteil in Phase 8 als Hausaufgabe.</w:t>
      </w:r>
    </w:p>
    <w:p>
      <w:pPr>
        <w:spacing w:after="50" w:before="0"/>
      </w:pPr>
      <w:r>
        <w:rPr>
          <w:sz w:val="20"/>
          <w:szCs w:val="20"/>
        </w:rPr>
        <w:t xml:space="preserve">–  Gewinner-Verlierer-Linie als Einstieg in die nächste Stunde.</w:t>
      </w:r>
    </w:p>
    <w:p>
      <w:pPr>
        <w:spacing w:after="50" w:before="0"/>
      </w:pPr>
      <w:r>
        <w:rPr>
          <w:sz w:val="20"/>
          <w:szCs w:val="20"/>
        </w:rPr>
        <w:t xml:space="preserve">–  Das Lesetandem nicht kürzen: Dort erarbeiten die Schüler den Kern der Stunde selbst.</w:t>
      </w:r>
    </w:p>
    <w:p>
      <w:pPr>
        <w:keepNext/>
        <w:spacing w:after="100" w:before="220"/>
      </w:pPr>
      <w:r>
        <w:rPr>
          <w:rFonts w:ascii="Cambria" w:cs="Cambria" w:eastAsia="Cambria" w:hAnsi="Cambria"/>
          <w:b/>
          <w:bCs/>
          <w:color w:val="AD4426"/>
          <w:sz w:val="25"/>
          <w:szCs w:val="25"/>
        </w:rPr>
        <w:t xml:space="preserve">7. Alle Dateien im Überblick</w:t>
      </w:r>
    </w:p>
    <w:p>
      <w:pPr>
        <w:spacing w:after="80" w:before="0"/>
      </w:pPr>
      <w:r>
        <w:rPr>
          <w:color w:val="5A5044"/>
          <w:sz w:val="18"/>
          <w:szCs w:val="18"/>
        </w:rPr>
        <w:t xml:space="preserve">Ordner Geschichte_11/Doppelstunde_Solon: Folien_Doppelstunde_Drakon_Solon.pptx (38 Folien, Audio und Video eingebettet) · Lueckentext_Polisbildung_A5.docx · Lueckentext_Polisbildung_Loesung.docx · Figurenkarten_Tafel.docx · Handreichung_Doppelstunde.docx</w:t>
      </w:r>
    </w:p>
    <w:p>
      <w:pPr>
        <w:spacing w:after="80" w:before="0"/>
      </w:pPr>
      <w:r>
        <w:rPr>
          <w:color w:val="5A5044"/>
          <w:sz w:val="18"/>
          <w:szCs w:val="18"/>
        </w:rPr>
        <w:t xml:space="preserve">Einzeln: Audio/Hoerprobe_Athen_600vChr.mp3 · Video/Erklaervideo_Solons_Verfassung.mp4 · Audio/Podcast_Skript_lebendig.md (optional als Zusatz)</w:t>
      </w:r>
    </w:p>
    <w:sectPr>
      <w:headerReference w:type="default" r:id="rId7"/>
      <w:pgSz w:w="11906" w:h="16838" w:orient="portrait"/>
      <w:pgMar w:top="1000" w:right="1134" w:bottom="9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8C77"/>
        <w:sz w:val="16"/>
        <w:szCs w:val="16"/>
      </w:rPr>
      <w:t xml:space="preserve">Geschichte · Klasse 11 · Handreichung Doppelstunde Drakon und Solon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31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2026-09-30T07:21:45.636Z</dcterms:created>
  <dcterms:modified xsi:type="dcterms:W3CDTF">2026-09-30T07:21:45.636Z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