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FRANZ KAFKA: „BRIEF AN DEN VATER“ (1919) · AUSZÜGE VON S. 5–6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4"/>
          <w:szCs w:val="34"/>
        </w:rPr>
        <w:t xml:space="preserve">Wie der Vater spricht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These: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Kafkas „Furcht“ gründet auf Kommunikationsproblemen.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So analysiert man: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Verstehen (Wer? An wen? Worum?)  →  2 Untersuchen (Handlung · Modell · Wirkung)  →  3 Schreiben (Behauptung → Beleg → Erklärung)</w:t>
            </w:r>
          </w:p>
        </w:tc>
      </w:tr>
    </w:tbl>
    <w:p>
      <w:pPr>
        <w:spacing w:after="10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Der Text steht in der Rechtschreibung vor 1996: daß = dass, mußte = musste, wußte = wusste.</w:t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3F7CC4"/>
          <w:sz w:val="26"/>
          <w:szCs w:val="26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Redeverbot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gemeinsam im Unterrichtsgespräch – die Matrix übernimmst du in deinen Hefter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Die Unmöglichkeit des ruhigen Verkehrs hatte noch eine weitere eigentlich sehr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natürliche Folge: ich verlernte das Reden. Ich wäre ja wohl auch sonst kein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großer Redner geworden, aber die gewöhnlich fließende menschliche Sprache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hätte ich doch beherrscht. Du hast mir aber schon früh das Wort verboten.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Deine Drohung: »kein Wort der Widerrede!« und die dazu erhobene Hand begleiten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schon seit jeher. Ich bekam vor Dir – Du bist, sobald es um Deine Dinge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geht, ein ausgezeichneter Redner – eine stockende, stotternde Art des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Sprechens, auch das war Dir noch zu viel, schließlich schwieg ich, zuerst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vielleicht aus Trotz, dann, weil ich vor Dir weder denken noch reden konnte.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[…] Du sagtest: »Kein Wort der Widerrede!« und wolltest damit die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unangenehmen Gegenkräfte in mir zum Schweigen bringen, diese Einwirkung war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aber für mich zu stark, ich war zu folgsam, ich verstummte gänzlich, verkroch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vor Dir und wagte mich erst zu regen, wenn ich so weit von Dir entfernt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war, daß Deine Macht, wenigstens direkt, nicht mehr hinreichte. Du aber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standst davor, und alles schien Dir wieder »contra« zu sein, während es nur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selbstverständliche Folge Deiner Stärke und meiner Schwäche war.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Verkehr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Umgang miteinander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Widerrede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Widerspruch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Gegenkräfte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eigener Wille, Widerstand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contra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dagegen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[…]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Auslassung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C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Ironie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allein – Aufgabe 1 auf der Rückseite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Ein besonderes Vertrauen hattest Du zur Erziehung durch Ironie, sie entsprach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auch am besten Deiner Überlegenheit über mich. Eine Ermahnung hatte bei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gewöhnlich diese Form: »Kannst Du das nicht so und so machen? Das ist Dir wohl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schon zu viel? Dazu hast Du natürlich keine Zeit?« und ähnlich. Dabei jede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solche Frage begleitet von bösem Lachen und bösem Gesicht. Man wurde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gewissermaßen schon bestraft, ehe man noch wußte, daß man etwas Schlechtes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getan hatte. Aufreizend waren auch jene Zurechtweisungen, wo man als dritte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Person behandelt, also nicht einmal des bösen Ansprechens gewürdigt wurde; wo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Du also etwa formell zur Mutter sprachst, aber eigentlich zu mir, der dabei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saß, zum Beispiel: »Das kann man vom Herrn Sohn natürlich nicht haben« und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dergleichen. (Das bekam dann sein Gegenspiel darin, daß ich zum Beispiel nicht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wagte und später aus Gewohnheit gar nicht mehr daran dachte, Dich direkt zu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fragen, wenn die Mutter dabei war. Es war dem Kind viel ungefährlicher, die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neben Dir sitzende Mutter nach Dir auszufragen, man fragte dann die Mutter: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»Wie geht es dem Vater?« und sicherte sich so vor Überraschungen.)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Ermahnung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Zurechtweisung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gewissermaßen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sozusagen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formell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der Form nach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gewürdigt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für wert befunden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Gegenspiel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Gegenstück, Folge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AUFGABE 1 · ALLEIN · CA. 13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4"/>
          <w:szCs w:val="34"/>
        </w:rPr>
        <w:t xml:space="preserve">Abschnitt C untersuchen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Untersuche Abschnitt C so, wie wir Abschnitt A gemeinsam untersucht haben. Fülle die Matrix aus: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mindestens vier Zeilen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, jede mit Zitat und Zeilenangabe.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Hilfe, wenn du nicht weiterkommst: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Wie klingen die Fragen des Vaters – und wie sind sie gemeint? (Z. 3–5)  ·  Was sagen Lachen und Gesicht? (Z. 5)  ·  Mit wem spricht der Vater eigentlich? (Z. 9–10)  ·  Was macht der Sohn daraus? (Z. 11–15)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3100"/>
        <w:gridCol w:w="3206"/>
      </w:tblGrid>
      <w:tr>
        <w:trPr>
          <w:cantSplit/>
          <w:trHeight w:val="5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Z.</w:t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Handlung des Vaters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Was tut er? (Zitat)</w:t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Seite der Nachricht / Axiom</w:t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Wirkung auf den Sohn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+ Zeile</w:t>
            </w:r>
          </w:p>
        </w:tc>
      </w:tr>
      <w:tr>
        <w:trPr>
          <w:cantSplit/>
          <w:trHeight w:val="125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b/>
          <w:bCs/>
          <w:color w:val="1E2761"/>
          <w:sz w:val="18"/>
          <w:szCs w:val="18"/>
        </w:rPr>
        <w:t xml:space="preserve">Zitieren: </w:t>
      </w: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„Das ist Dir wohl schon zu viel?“ (Z. 3 f.)  ·  ein Wort angepasst: die „erhobene[n] Hand“  ·  ausgelassen: „schon bestraft, ehe man noch wußte […]“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AUFGABE 2 · ALLEIN · CA. 15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4"/>
          <w:szCs w:val="34"/>
        </w:rPr>
        <w:t xml:space="preserve">Vom Tafelbild zum Fließtext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Überführe die Matrix von der Tafel (A und C) in einen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zusammenhängenden Text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. Schreibe so, wie du es in der Klausur tun würdest.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7106"/>
      </w:tblGrid>
      <w:tr>
        <w:trPr>
          <w:cantSplit/>
          <w:trHeight w:val="380" w:hRule="atLeast"/>
        </w:trPr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Einleitung</w:t>
            </w:r>
          </w:p>
        </w:tc>
        <w:tc>
          <w:tcPr>
            <w:tcW w:type="dxa" w:w="7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Wer schreibt an wen, wann, worüber? Worum geht es in den beiden Abschnitten?</w:t>
            </w:r>
          </w:p>
        </w:tc>
      </w:tr>
      <w:tr>
        <w:trPr>
          <w:cantSplit/>
          <w:trHeight w:val="380" w:hRule="atLeast"/>
        </w:trPr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Hauptteil</w:t>
            </w:r>
          </w:p>
        </w:tc>
        <w:tc>
          <w:tcPr>
            <w:tcW w:type="dxa" w:w="7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 Zeile der Matrix: Behauptung → Beleg (Zitat + Z.) → Erklärung mit Fachbegriff. Erst A, dann C.</w:t>
            </w:r>
          </w:p>
        </w:tc>
      </w:tr>
      <w:tr>
        <w:trPr>
          <w:cantSplit/>
          <w:trHeight w:val="380" w:hRule="atLeast"/>
        </w:trPr>
        <w:tc>
          <w:tcPr>
            <w:tcW w:type="dxa" w:w="3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Schluss</w:t>
            </w:r>
          </w:p>
        </w:tc>
        <w:tc>
          <w:tcPr>
            <w:tcW w:type="dxa" w:w="7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Stützen die Stellen die These? Was muss man ergänzen?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Satzbausteine: 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In seinem „Brief an den Vater“ (1919) …  ·  Indem der Vater …, sendet er …  ·  Dies zeigt sich in … (Z. …)  ·  Hinzu kommt, dass …  ·  Die Folge ist …  ·  Besonders deutlich wird dies, wenn …  ·  Insgesamt stützt die Stelle die These, weil …  ·  Allerdings …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750" w:left="850" w:header="380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Kafka, Brief an den Vater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Kafka, „Brief an den Vater“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2026-10-04T16:31:19.770Z</dcterms:created>
  <dcterms:modified xsi:type="dcterms:W3CDTF">2026-10-04T16:31:19.771Z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