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IN STICHWORTEN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① Abschnitt A: im Unterrichtsgespräch, Matrix wächst an der Tafel und im Hefter · ② Abschnitt C: allein, dann an der Tafel zusammentragen · ③ These prüfen · ④ Matrix in Fließtext überführen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5000"/>
        <w:gridCol w:w="4738"/>
      </w:tblGrid>
      <w:tr>
        <w:trPr>
          <w:cantSplit/>
        </w:trPr>
        <w:tc>
          <w:tcPr>
            <w:tcW w:type="dxa" w:w="15338"/>
            <w:gridSpan w:val="4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3"/>
                <w:szCs w:val="23"/>
              </w:rPr>
              <w:t xml:space="preserve">These: </w:t>
            </w:r>
            <w:r>
              <w:rPr>
                <w:rFonts w:ascii="Calibri" w:cs="Calibri" w:eastAsia="Calibri" w:hAnsi="Calibri"/>
                <w:color w:val="F3F1EA"/>
                <w:sz w:val="23"/>
                <w:szCs w:val="23"/>
              </w:rPr>
              <w:t xml:space="preserve">Kafkas „Furcht“ gründet auf Kommunikationsproblemen.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So analysiert man: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1 Verstehen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(Wer? An wen? Worum?)  →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2 Untersuchen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(Handlung · Modell · Wirkung)  →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3 Schreiben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(Behauptung → Beleg → Erklärung)</w:t>
            </w:r>
          </w:p>
        </w:tc>
      </w:tr>
      <w:tr>
        <w:trPr>
          <w:cantSplit/>
          <w:trHeight w:val="38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C9C3A8"/>
                <w:sz w:val="20"/>
                <w:szCs w:val="20"/>
              </w:rPr>
              <w:t xml:space="preserve">①  </w:t>
            </w:r>
            <w:r>
              <w:rPr>
                <w:rFonts w:ascii="Calibri" w:cs="Calibri" w:eastAsia="Calibri" w:hAnsi="Calibri"/>
                <w:b/>
                <w:bCs/>
                <w:color w:val="8EC3F0"/>
                <w:sz w:val="23"/>
                <w:szCs w:val="23"/>
              </w:rPr>
              <w:t xml:space="preserve">A  Redeverbot – gemeinsam im Unterrichtsgespräch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   „ich verlernte das Reden“ (S. 5 f.) · Matrix in den Hefter übernehmen</w:t>
            </w:r>
          </w:p>
        </w:tc>
      </w:tr>
      <w:tr>
        <w:trPr>
          <w:cantSplit/>
          <w:trHeight w:val="40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Z.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Handlung des Vaters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Modell (Seite / Axiom)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Wirkung auf den Sohn (Zitat)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4–5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„kein Wort der Widerrede!“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Appell „Schweig!“ + Beziehung „Ich bestimme“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„stockende, stotternde Art des Sprechens“ (Z. 7)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erhobene Hand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analoge Botschaft verstärkt die Drohung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„schließlich schwieg ich“ (Z. 8)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6–7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selbst „ausgezeichneter Redner“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starr komplementär: oben / unten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„weder denken noch reden“ (Z. 9)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15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deutet Schweigen als „contra“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Interpunktion → Missverständnis (Trotz ↔ Gehorsam)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„verkroch mich vor Dir“ (Z. 12–13)</w:t>
            </w:r>
          </w:p>
        </w:tc>
      </w:tr>
      <w:tr>
        <w:trPr>
          <w:cantSplit/>
          <w:trHeight w:val="38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C9C3A8"/>
                <w:sz w:val="20"/>
                <w:szCs w:val="20"/>
              </w:rPr>
              <w:t xml:space="preserve">②  </w:t>
            </w:r>
            <w:r>
              <w:rPr>
                <w:rFonts w:ascii="Calibri" w:cs="Calibri" w:eastAsia="Calibri" w:hAnsi="Calibri"/>
                <w:b/>
                <w:bCs/>
                <w:color w:val="F29A8E"/>
                <w:sz w:val="23"/>
                <w:szCs w:val="23"/>
              </w:rPr>
              <w:t xml:space="preserve">C  Ironie – allein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   „Ein besonderes Vertrauen hattest Du zur Erziehung durch Ironie …“ (S. 6)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3–4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„Das ist Dir wohl schon zu viel?“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Ironie: Frage (Sache) ≠ Vorwurf (Beziehung)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„schon bestraft, ehe man noch wußte …“ (Z. 6)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„bösem Lachen und bösem Gesicht“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inkongruent: analog widerspricht digital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9–10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spricht „zur Mutter“: „vom Herrn Sohn“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Empfänger übergangen · Abwertung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„nicht einmal des bösen Ansprechens gewürdigt“ (Z. 8)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„Deiner Überlegenheit über mich“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komplementär – Sohn übernimmt das Muster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fragt nur die Mutter: „Wie geht es dem Vater?“ (Z. 15)</w:t>
            </w:r>
          </w:p>
        </w:tc>
      </w:tr>
      <w:tr>
        <w:trPr>
          <w:cantSplit/>
          <w:trHeight w:val="52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These geprüft: 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✓ stützt: Wo Widerspruch unmöglich ist, entsteht Furcht.   + ergänzt: „Stärke … Schwäche“ – „Du verstärktest nur, was war“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→ Der Brief selbst ist Metakommunikation – und erreicht den Vater nie.</w:t>
            </w:r>
          </w:p>
        </w:tc>
      </w:tr>
      <w:tr>
        <w:trPr>
          <w:cantSplit/>
          <w:trHeight w:val="900" w:hRule="atLeast"/>
        </w:trPr>
        <w:tc>
          <w:tcPr>
            <w:tcW w:type="dxa" w:w="153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4A3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3"/>
                <w:szCs w:val="23"/>
              </w:rPr>
              <w:t xml:space="preserve">④ Auftrag: Tafelbild → Fließtext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   Schreibe deine Analyse von A und C als zusammenhängenden Text.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Aufbau: 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Einleitung (Wer? An wen? Worum?)  →  je Zeile der Matrix: Behauptung → Beleg (Zitat + Z.) → Erklärung  →  Schluss: These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Satzbausteine: 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Indem der Vater …, sendet er …  ·  Dies zeigt sich in … (Z. …)  ·  Hinzu kommt, dass …  ·  Die Folge ist …  ·  Insgesamt stützt die Stelle die These, weil …</w:t>
            </w:r>
          </w:p>
        </w:tc>
      </w:tr>
    </w:tbl>
    <w:sectPr>
      <w:pgSz w:w="16838" w:h="11906" w:orient="landscape"/>
      <w:pgMar w:top="500" w:right="750" w:bottom="400" w:left="7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2026-10-04T16:32:10.708Z</dcterms:created>
  <dcterms:modified xsi:type="dcterms:W3CDTF">2026-10-04T16:32:10.709Z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